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Translation Service Workflow Guidelines</w:t>
      </w:r>
    </w:p>
    <w:p>
      <w:r>
        <w:t>Version 1.0 | Effective Date: October 17, 2025</w:t>
      </w:r>
    </w:p>
    <w:p>
      <w:r>
        <w:t>This document establishes comprehensive guidelines for multilingual content creation, translation quality assurance, and cultural sensitivity protocols for professional translation teams.</w:t>
      </w:r>
    </w:p>
    <w:p>
      <w:r>
        <w:br w:type="page"/>
      </w:r>
    </w:p>
    <w:p>
      <w:pPr>
        <w:pStyle w:val="Heading2"/>
      </w:pPr>
      <w:r>
        <w:t>1. Translation Quality Standards</w:t>
      </w:r>
    </w:p>
    <w:p>
      <w:pPr>
        <w:pStyle w:val="Heading3"/>
      </w:pPr>
      <w:r>
        <w:t>1.1 Accuracy Requirements</w:t>
      </w:r>
    </w:p>
    <w:p>
      <w:r>
        <w:t>All translations must achieve a minimum accuracy score of 95% as measured by professional quality assessment tools. Key requirements include:</w:t>
      </w:r>
    </w:p>
    <w:p>
      <w:r>
        <w:t>• Semantic accuracy: Preserve original meaning without distortion or omission</w:t>
        <w:br/>
        <w:t>• Terminological consistency: Use approved glossaries and terminology databases</w:t>
        <w:br/>
        <w:t>• Contextual appropriateness: Consider industry-specific language conventions</w:t>
        <w:br/>
        <w:t>• Grammar and syntax: Ensure grammatically correct target language constructions</w:t>
        <w:br/>
        <w:t>• Numerical accuracy: Verify all numbers, dates, times, and measurements</w:t>
      </w:r>
    </w:p>
    <w:p>
      <w:pPr>
        <w:pStyle w:val="Heading3"/>
      </w:pPr>
      <w:r>
        <w:t>1.2 Style and Tone Guidelines</w:t>
      </w:r>
    </w:p>
    <w:p>
      <w:r>
        <w:t>Maintain consistent style and tone appropriate to the document type:</w:t>
      </w:r>
    </w:p>
    <w:p>
      <w:r>
        <w:t>• Business documents: Professional, formal tone with industry-standard vocabulary</w:t>
        <w:br/>
        <w:t>• Marketing materials: Persuasive, engaging language adapted to target market preferences</w:t>
        <w:br/>
        <w:t>• Technical documentation: Clear, precise terminology with standardized technical terms</w:t>
        <w:br/>
        <w:t>• Legal documents: Exact terminology following legal conventions in target jurisdiction</w:t>
        <w:br/>
        <w:t>• Educational content: Clear, accessible language appropriate to audience education level</w:t>
      </w:r>
    </w:p>
    <w:p>
      <w:pPr>
        <w:pStyle w:val="Heading2"/>
      </w:pPr>
      <w:r>
        <w:t>2. Cultural Sensitivity Protocols</w:t>
      </w:r>
    </w:p>
    <w:p>
      <w:pPr>
        <w:pStyle w:val="Heading3"/>
      </w:pPr>
      <w:r>
        <w:t>2.1 Cultural Adaptation Principles</w:t>
      </w:r>
    </w:p>
    <w:p>
      <w:r>
        <w:t>Translators must demonstrate cultural competence and adapt content appropriately:</w:t>
      </w:r>
    </w:p>
    <w:p>
      <w:r>
        <w:t>• Localization: Adapt idioms, metaphors, and cultural references to target culture</w:t>
        <w:br/>
        <w:t>• Date and time formats: Use conventions appropriate to target locale (DD/MM/YYYY vs MM/DD/YYYY)</w:t>
        <w:br/>
        <w:t>• Currency and measurements: Convert or adapt units according to local standards</w:t>
        <w:br/>
        <w:t>• Color symbolism: Be aware of cultural meanings associated with colors</w:t>
        <w:br/>
        <w:t>• Images and graphics: Assess appropriateness of visual content for target culture</w:t>
        <w:br/>
        <w:t>• Honorifics and formality: Apply appropriate levels of formality and address forms</w:t>
      </w:r>
    </w:p>
    <w:p>
      <w:pPr>
        <w:pStyle w:val="Heading3"/>
      </w:pPr>
      <w:r>
        <w:t>2.2 Sensitive Content Guidelines</w:t>
      </w:r>
    </w:p>
    <w:p>
      <w:r>
        <w:t>Exercise caution and cultural awareness when translating content related to:</w:t>
      </w:r>
    </w:p>
    <w:p>
      <w:r>
        <w:t>• Religious references: Respect religious diversity and avoid potentially offensive translations</w:t>
        <w:br/>
        <w:t>• Gender and family structures: Use inclusive language and respect diverse family models</w:t>
        <w:br/>
        <w:t>• Political terminology: Maintain neutrality and avoid politically charged language</w:t>
        <w:br/>
        <w:t>• Historical events: Be sensitive to different perspectives on historical matters</w:t>
        <w:br/>
        <w:t>• Social norms: Recognize varying cultural attitudes toward topics like health, relationships, and authority</w:t>
        <w:br/>
        <w:t>• Humor and sarcasm: Carefully assess whether humor translates appropriately or requires adaptation</w:t>
      </w:r>
    </w:p>
    <w:p>
      <w:pPr>
        <w:pStyle w:val="Heading3"/>
      </w:pPr>
      <w:r>
        <w:t>2.3 Regional Variations</w:t>
      </w:r>
    </w:p>
    <w:p>
      <w:r>
        <w:t>Recognize and accommodate regional language variations:</w:t>
      </w:r>
    </w:p>
    <w:p>
      <w:r>
        <w:t>• Spanish: Distinguish between European Spanish, Latin American Spanish, and regional variants</w:t>
        <w:br/>
        <w:t>• Portuguese: Differentiate between European Portuguese and Brazilian Portuguese</w:t>
        <w:br/>
        <w:t>• French: Recognize differences between France French, Canadian French, and African French variants</w:t>
        <w:br/>
        <w:t>• English: Apply appropriate conventions for US English, UK English, Australian English, etc.</w:t>
        <w:br/>
        <w:t>• Arabic: Consider Modern Standard Arabic versus regional dialects</w:t>
        <w:br/>
        <w:t>• Chinese: Distinguish between Simplified Chinese (Mainland) and Traditional Chinese (Taiwan, Hong Kong)</w:t>
      </w:r>
    </w:p>
    <w:p>
      <w:pPr>
        <w:pStyle w:val="Heading2"/>
      </w:pPr>
      <w:r>
        <w:t>3. Content Moderation and Review Process</w:t>
      </w:r>
    </w:p>
    <w:p>
      <w:pPr>
        <w:pStyle w:val="Heading3"/>
      </w:pPr>
      <w:r>
        <w:t>3.1 Multi-Stage Review Workflow</w:t>
      </w:r>
    </w:p>
    <w:p>
      <w:r>
        <w:t>All translations undergo a comprehensive four-stage review process:</w:t>
      </w:r>
    </w:p>
    <w:p>
      <w:r>
        <w:t>Stage 1: Initial Translation - Certified translator completes first draft with attention to accuracy and cultural appropriateness</w:t>
        <w:br/>
        <w:br/>
        <w:t>Stage 2: Quality Assurance Review - Second translator reviews for accuracy, consistency, and adherence to quality standards</w:t>
        <w:br/>
        <w:br/>
        <w:t>Stage 3: Cultural Sensitivity Check - Native speaker from target culture reviews for cultural appropriateness and localization quality</w:t>
        <w:br/>
        <w:br/>
        <w:t>Stage 4: Final Proofreading - Editor performs final review for grammar, formatting, and overall quality</w:t>
      </w:r>
    </w:p>
    <w:p>
      <w:pPr>
        <w:pStyle w:val="Heading3"/>
      </w:pPr>
      <w:r>
        <w:t>3.2 Content Moderation Standards</w:t>
      </w:r>
    </w:p>
    <w:p>
      <w:r>
        <w:t>Content moderation ensures translated materials meet professional standards:</w:t>
      </w:r>
    </w:p>
    <w:p>
      <w:r>
        <w:t>• Safety assessment: Verify content is appropriate and non-offensive for target audience</w:t>
        <w:br/>
        <w:t>• Sentiment analysis: Ensure emotional tone aligns with intended message and brand voice</w:t>
        <w:br/>
        <w:t>• Topic detection: Confirm subject matter is accurately represented across languages</w:t>
        <w:br/>
        <w:t>• Compliance verification: Check adherence to regulatory requirements in target jurisdiction</w:t>
        <w:br/>
        <w:t>• Brand consistency: Maintain consistent brand voice and messaging across all languages</w:t>
        <w:br/>
        <w:t>• Accessibility: Ensure content is accessible to diverse audiences including those with disabilities</w:t>
      </w:r>
    </w:p>
    <w:p>
      <w:pPr>
        <w:pStyle w:val="Heading3"/>
      </w:pPr>
      <w:r>
        <w:t>3.3 Quality Metrics and Scoring</w:t>
      </w:r>
    </w:p>
    <w:p>
      <w:r>
        <w:t>Translations are evaluated using standardized quality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Quality Metric</w:t>
            </w:r>
          </w:p>
        </w:tc>
        <w:tc>
          <w:tcPr>
            <w:tcW w:type="dxa" w:w="2880"/>
          </w:tcPr>
          <w:p>
            <w:r>
              <w:t>Minimum Score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Fluency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Cultural Appropriateness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Style Consistency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Technical Formatting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pPr>
        <w:pStyle w:val="Heading2"/>
      </w:pPr>
      <w:r>
        <w:t>4. Document Format Management</w:t>
      </w:r>
    </w:p>
    <w:p>
      <w:pPr>
        <w:pStyle w:val="Heading3"/>
      </w:pPr>
      <w:r>
        <w:t>4.1 Format Conversion Standards</w:t>
      </w:r>
    </w:p>
    <w:p>
      <w:r>
        <w:t>Multilingual documents must be converted to appropriate formats for different stakeholders:</w:t>
      </w:r>
    </w:p>
    <w:p>
      <w:r>
        <w:t>• PDF Format: For final distribution, legal documents, and archival purposes - preserves formatting and layout</w:t>
        <w:br/>
        <w:t>• DOCX Format: For collaborative editing, review processes, and content updates - enables track changes</w:t>
        <w:br/>
        <w:t>• HTML Format: For web publication, online documentation, and digital platforms - ensures accessibility</w:t>
        <w:br/>
        <w:t>• TXT Format: For plain text requirements, data processing, and simple distribution</w:t>
        <w:br/>
        <w:t>• MD Format: For technical documentation, version control systems, and developer resources</w:t>
      </w:r>
    </w:p>
    <w:p>
      <w:pPr>
        <w:pStyle w:val="Heading3"/>
      </w:pPr>
      <w:r>
        <w:t>4.2 Format Preservation Requirements</w:t>
      </w:r>
    </w:p>
    <w:p>
      <w:r>
        <w:t>When converting between formats, preserve critical document elements:</w:t>
      </w:r>
    </w:p>
    <w:p>
      <w:r>
        <w:t>• Layout and structure: Maintain document hierarchy, headings, and section organization</w:t>
        <w:br/>
        <w:t>• Typography: Preserve font choices, sizes, and text formatting where applicable</w:t>
        <w:br/>
        <w:t>• Graphics and media: Ensure images, charts, and diagrams are properly embedded or linked</w:t>
        <w:br/>
        <w:t>• Metadata: Retain author information, creation dates, and version history</w:t>
        <w:br/>
        <w:t>• Hyperlinks: Verify all links remain functional across format conversions</w:t>
        <w:br/>
        <w:t>• Tables and lists: Preserve tabular data structure and list formatting</w:t>
      </w:r>
    </w:p>
    <w:p>
      <w:pPr>
        <w:pStyle w:val="Heading3"/>
      </w:pPr>
      <w:r>
        <w:t>4.3 Stakeholder-Specific Format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 Type</w:t>
            </w:r>
          </w:p>
        </w:tc>
        <w:tc>
          <w:tcPr>
            <w:tcW w:type="dxa" w:w="2880"/>
          </w:tcPr>
          <w:p>
            <w:r>
              <w:t>Preferred Format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Legal/Compliance Teams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Official records and signatures</w:t>
            </w:r>
          </w:p>
        </w:tc>
      </w:tr>
      <w:tr>
        <w:tc>
          <w:tcPr>
            <w:tcW w:type="dxa" w:w="2880"/>
          </w:tcPr>
          <w:p>
            <w:r>
              <w:t>Translation Teams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Editing and collaboration</w:t>
            </w:r>
          </w:p>
        </w:tc>
      </w:tr>
      <w:tr>
        <w:tc>
          <w:tcPr>
            <w:tcW w:type="dxa" w:w="2880"/>
          </w:tcPr>
          <w:p>
            <w:r>
              <w:t>Web Content Managers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Online publication</w:t>
            </w:r>
          </w:p>
        </w:tc>
      </w:tr>
      <w:tr>
        <w:tc>
          <w:tcPr>
            <w:tcW w:type="dxa" w:w="2880"/>
          </w:tcPr>
          <w:p>
            <w:r>
              <w:t>Developers</w:t>
            </w:r>
          </w:p>
        </w:tc>
        <w:tc>
          <w:tcPr>
            <w:tcW w:type="dxa" w:w="2880"/>
          </w:tcPr>
          <w:p>
            <w:r>
              <w:t>MD/TXT</w:t>
            </w:r>
          </w:p>
        </w:tc>
        <w:tc>
          <w:tcPr>
            <w:tcW w:type="dxa" w:w="2880"/>
          </w:tcPr>
          <w:p>
            <w:r>
              <w:t>Technical integration</w:t>
            </w:r>
          </w:p>
        </w:tc>
      </w:tr>
      <w:tr>
        <w:tc>
          <w:tcPr>
            <w:tcW w:type="dxa" w:w="2880"/>
          </w:tcPr>
          <w:p>
            <w:r>
              <w:t>Executive Management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Reports and presentations</w:t>
            </w:r>
          </w:p>
        </w:tc>
      </w:tr>
    </w:tbl>
    <w:p>
      <w:pPr>
        <w:pStyle w:val="Heading2"/>
      </w:pPr>
      <w:r>
        <w:t>5. Workflow Implementation</w:t>
      </w:r>
    </w:p>
    <w:p>
      <w:pPr>
        <w:pStyle w:val="Heading3"/>
      </w:pPr>
      <w:r>
        <w:t>5.1 Project Intake Process</w:t>
      </w:r>
    </w:p>
    <w:p>
      <w:r>
        <w:t>Step 1: Initial Assessment - Review source content, determine target languages, and identify special requirements</w:t>
        <w:br/>
        <w:br/>
        <w:t>Step 2: Resource Allocation - Assign qualified translators with expertise in subject matter and target cultures</w:t>
        <w:br/>
        <w:br/>
        <w:t>Step 3: Timeline Planning - Establish realistic deadlines based on word count, complexity, and review stages</w:t>
        <w:br/>
        <w:br/>
        <w:t>Step 4: Quality Benchmarking - Define quality standards and success metrics for the specific project</w:t>
        <w:br/>
        <w:br/>
        <w:t>Step 5: Communication Setup - Establish channels for questions, clarifications, and status updates</w:t>
      </w:r>
    </w:p>
    <w:p>
      <w:pPr>
        <w:pStyle w:val="Heading3"/>
      </w:pPr>
      <w:r>
        <w:t>5.2 Technology and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