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AC4FF" w14:textId="44505587" w:rsidR="006B46ED" w:rsidRPr="00405114" w:rsidRDefault="00405114" w:rsidP="00366F50">
      <w:pPr>
        <w:ind w:right="-567"/>
        <w:jc w:val="center"/>
        <w:rPr>
          <w:sz w:val="52"/>
          <w:szCs w:val="52"/>
        </w:rPr>
      </w:pPr>
      <w:r w:rsidRPr="00405114">
        <w:rPr>
          <w:sz w:val="52"/>
          <w:szCs w:val="52"/>
        </w:rPr>
        <w:t>Training &amp; Cost Analysis</w:t>
      </w:r>
    </w:p>
    <w:p w14:paraId="68118A81" w14:textId="77777777" w:rsidR="00405114" w:rsidRDefault="00405114" w:rsidP="00366F50">
      <w:pPr>
        <w:spacing w:line="240" w:lineRule="auto"/>
        <w:ind w:right="-567"/>
      </w:pPr>
      <w:r>
        <w:t>Rahul Kashyap</w:t>
      </w:r>
    </w:p>
    <w:p w14:paraId="139D3CA4" w14:textId="16DEFF8F" w:rsidR="00405114" w:rsidRDefault="00405114" w:rsidP="00366F50">
      <w:pPr>
        <w:spacing w:line="240" w:lineRule="auto"/>
        <w:ind w:right="-567"/>
      </w:pPr>
      <w:r>
        <w:t>Founder &amp; Freelance Data Analyst</w:t>
      </w:r>
    </w:p>
    <w:p w14:paraId="3D7992F1" w14:textId="74D0CD06" w:rsidR="00405114" w:rsidRDefault="00405114" w:rsidP="00366F50">
      <w:pPr>
        <w:spacing w:line="240" w:lineRule="auto"/>
        <w:ind w:right="-567"/>
      </w:pPr>
      <w:proofErr w:type="gramStart"/>
      <w:r>
        <w:t>Date:-</w:t>
      </w:r>
      <w:proofErr w:type="gramEnd"/>
      <w:r>
        <w:t xml:space="preserve"> 17-04-2025</w:t>
      </w:r>
    </w:p>
    <w:p w14:paraId="55979660" w14:textId="77777777" w:rsidR="0011338A" w:rsidRPr="0011338A" w:rsidRDefault="0011338A" w:rsidP="00366F50">
      <w:pPr>
        <w:spacing w:line="240" w:lineRule="auto"/>
        <w:ind w:right="-567"/>
        <w:jc w:val="center"/>
        <w:rPr>
          <w:b/>
          <w:bCs/>
        </w:rPr>
      </w:pPr>
      <w:r w:rsidRPr="0011338A">
        <w:rPr>
          <w:b/>
          <w:bCs/>
        </w:rPr>
        <w:t>Introduction</w:t>
      </w:r>
    </w:p>
    <w:p w14:paraId="3370CE32" w14:textId="77777777" w:rsidR="0011338A" w:rsidRPr="0011338A" w:rsidRDefault="0011338A" w:rsidP="00366F50">
      <w:pPr>
        <w:spacing w:line="240" w:lineRule="auto"/>
        <w:ind w:right="-567"/>
        <w:jc w:val="both"/>
      </w:pPr>
      <w:r w:rsidRPr="0011338A">
        <w:t xml:space="preserve">The </w:t>
      </w:r>
      <w:r w:rsidRPr="0011338A">
        <w:rPr>
          <w:b/>
          <w:bCs/>
        </w:rPr>
        <w:t>Training &amp; Costing Analysis</w:t>
      </w:r>
      <w:r w:rsidRPr="0011338A">
        <w:t xml:space="preserve"> project aims to provide insightful and data-driven evaluations of employee training programs within an organization. By analyzing training data alongside cost metrics, the goal is to uncover trends, measure training effectiveness, identify budget allocations, and highlight opportunities for optimization.</w:t>
      </w:r>
    </w:p>
    <w:p w14:paraId="09A32E88" w14:textId="77777777" w:rsidR="0011338A" w:rsidRPr="0011338A" w:rsidRDefault="0011338A" w:rsidP="00366F50">
      <w:pPr>
        <w:spacing w:line="240" w:lineRule="auto"/>
        <w:ind w:right="-567"/>
        <w:jc w:val="both"/>
      </w:pPr>
      <w:r w:rsidRPr="0011338A">
        <w:t xml:space="preserve">This project leverages </w:t>
      </w:r>
      <w:r w:rsidRPr="0011338A">
        <w:rPr>
          <w:b/>
          <w:bCs/>
        </w:rPr>
        <w:t>Power BI</w:t>
      </w:r>
      <w:r w:rsidRPr="0011338A">
        <w:t xml:space="preserve"> to create interactive dashboards that visualize key performance indicators (KPIs), training participation rates, cost distributions, and departmental comparisons. These visualizations empower stakeholders to make informed decisions regarding future training investments and workforce development strategies.</w:t>
      </w:r>
    </w:p>
    <w:p w14:paraId="543CCD21" w14:textId="77777777" w:rsidR="0011338A" w:rsidRPr="0011338A" w:rsidRDefault="0011338A" w:rsidP="00366F50">
      <w:pPr>
        <w:spacing w:line="240" w:lineRule="auto"/>
        <w:ind w:right="-567"/>
        <w:jc w:val="both"/>
      </w:pPr>
      <w:r w:rsidRPr="0011338A">
        <w:t>Through this analysis, the project not only demonstrates technical proficiency in data visualization but also emphasizes how data can be transformed into meaningful business intelligence.</w:t>
      </w:r>
    </w:p>
    <w:p w14:paraId="3517BC21" w14:textId="77777777" w:rsidR="00405114" w:rsidRDefault="00405114" w:rsidP="00366F50">
      <w:pPr>
        <w:spacing w:line="240" w:lineRule="auto"/>
        <w:ind w:right="-567"/>
      </w:pPr>
    </w:p>
    <w:p w14:paraId="7272100D" w14:textId="77777777" w:rsidR="0011338A" w:rsidRPr="0011338A" w:rsidRDefault="0011338A" w:rsidP="00366F50">
      <w:pPr>
        <w:spacing w:line="240" w:lineRule="auto"/>
        <w:ind w:right="-567"/>
        <w:jc w:val="center"/>
        <w:rPr>
          <w:b/>
          <w:bCs/>
        </w:rPr>
      </w:pPr>
      <w:r w:rsidRPr="0011338A">
        <w:rPr>
          <w:b/>
          <w:bCs/>
        </w:rPr>
        <w:t>Data Sources</w:t>
      </w:r>
    </w:p>
    <w:p w14:paraId="1CDEA9C0" w14:textId="77777777" w:rsidR="0011338A" w:rsidRPr="0011338A" w:rsidRDefault="0011338A" w:rsidP="00366F50">
      <w:pPr>
        <w:spacing w:line="240" w:lineRule="auto"/>
        <w:ind w:right="-567"/>
      </w:pPr>
      <w:r w:rsidRPr="0011338A">
        <w:t>The data for this project was sourced from internal organizational records and includes details such as:</w:t>
      </w:r>
    </w:p>
    <w:p w14:paraId="2522FB4D" w14:textId="77777777" w:rsidR="0011338A" w:rsidRPr="0011338A" w:rsidRDefault="0011338A" w:rsidP="00366F50">
      <w:pPr>
        <w:numPr>
          <w:ilvl w:val="0"/>
          <w:numId w:val="1"/>
        </w:numPr>
        <w:spacing w:line="240" w:lineRule="auto"/>
        <w:ind w:right="-567"/>
      </w:pPr>
      <w:r w:rsidRPr="0011338A">
        <w:rPr>
          <w:b/>
          <w:bCs/>
        </w:rPr>
        <w:t>Employee Information</w:t>
      </w:r>
      <w:r w:rsidRPr="0011338A">
        <w:t>: Names, departments, and designations.</w:t>
      </w:r>
    </w:p>
    <w:p w14:paraId="4A0F7690" w14:textId="77777777" w:rsidR="0011338A" w:rsidRPr="0011338A" w:rsidRDefault="0011338A" w:rsidP="00366F50">
      <w:pPr>
        <w:numPr>
          <w:ilvl w:val="0"/>
          <w:numId w:val="1"/>
        </w:numPr>
        <w:spacing w:line="240" w:lineRule="auto"/>
        <w:ind w:right="-567"/>
      </w:pPr>
      <w:r w:rsidRPr="0011338A">
        <w:rPr>
          <w:b/>
          <w:bCs/>
        </w:rPr>
        <w:t>Training Programs</w:t>
      </w:r>
      <w:r w:rsidRPr="0011338A">
        <w:t>: Types, topics, and durations of training sessions.</w:t>
      </w:r>
    </w:p>
    <w:p w14:paraId="4E4457FD" w14:textId="77777777" w:rsidR="0011338A" w:rsidRPr="0011338A" w:rsidRDefault="0011338A" w:rsidP="00366F50">
      <w:pPr>
        <w:numPr>
          <w:ilvl w:val="0"/>
          <w:numId w:val="1"/>
        </w:numPr>
        <w:spacing w:line="240" w:lineRule="auto"/>
        <w:ind w:right="-567"/>
      </w:pPr>
      <w:r w:rsidRPr="0011338A">
        <w:rPr>
          <w:b/>
          <w:bCs/>
        </w:rPr>
        <w:t>Cost Data</w:t>
      </w:r>
      <w:r w:rsidRPr="0011338A">
        <w:t>: Training expenses per session, department-wise spending, and total budget allocation.</w:t>
      </w:r>
    </w:p>
    <w:p w14:paraId="2EF07168" w14:textId="77777777" w:rsidR="0011338A" w:rsidRPr="0011338A" w:rsidRDefault="0011338A" w:rsidP="00366F50">
      <w:pPr>
        <w:numPr>
          <w:ilvl w:val="0"/>
          <w:numId w:val="1"/>
        </w:numPr>
        <w:spacing w:line="240" w:lineRule="auto"/>
        <w:ind w:right="-567"/>
      </w:pPr>
      <w:r w:rsidRPr="0011338A">
        <w:rPr>
          <w:b/>
          <w:bCs/>
        </w:rPr>
        <w:t>Participation Records</w:t>
      </w:r>
      <w:r w:rsidRPr="0011338A">
        <w:t>: Attendance and completion status of employees in various training sessions.</w:t>
      </w:r>
    </w:p>
    <w:p w14:paraId="4C2FCBAD" w14:textId="038A7626" w:rsidR="0011338A" w:rsidRDefault="0011338A" w:rsidP="00366F50">
      <w:pPr>
        <w:spacing w:line="240" w:lineRule="auto"/>
        <w:ind w:right="-567"/>
      </w:pPr>
      <w:r w:rsidRPr="0011338A">
        <w:t xml:space="preserve">The dataset was primarily maintained in </w:t>
      </w:r>
      <w:r w:rsidRPr="0011338A">
        <w:rPr>
          <w:b/>
          <w:bCs/>
        </w:rPr>
        <w:t>Excel format</w:t>
      </w:r>
      <w:r w:rsidRPr="0011338A">
        <w:t xml:space="preserve"> and imported into Power BI for modeling, transformation, and visualization.</w:t>
      </w:r>
    </w:p>
    <w:p w14:paraId="677CB8D9" w14:textId="0992A374" w:rsidR="00405114" w:rsidRPr="0011338A" w:rsidRDefault="0011338A" w:rsidP="00366F50">
      <w:pPr>
        <w:spacing w:line="240" w:lineRule="auto"/>
        <w:ind w:right="-567"/>
        <w:jc w:val="center"/>
        <w:rPr>
          <w:b/>
          <w:bCs/>
        </w:rPr>
      </w:pPr>
      <w:r w:rsidRPr="0011338A">
        <w:rPr>
          <w:b/>
          <w:bCs/>
        </w:rPr>
        <w:t>Objective</w:t>
      </w:r>
    </w:p>
    <w:p w14:paraId="429A09E4" w14:textId="77777777" w:rsidR="0011338A" w:rsidRDefault="0011338A" w:rsidP="00366F50">
      <w:pPr>
        <w:spacing w:after="415"/>
        <w:ind w:right="-567"/>
      </w:pPr>
      <w:r>
        <w:t xml:space="preserve">The objective of the model is to analyze the training status </w:t>
      </w:r>
      <w:proofErr w:type="gramStart"/>
      <w:r>
        <w:t>on the basis of</w:t>
      </w:r>
      <w:proofErr w:type="gramEnd"/>
      <w:r>
        <w:t xml:space="preserve"> department head</w:t>
      </w:r>
    </w:p>
    <w:p w14:paraId="2A7A4C71" w14:textId="77777777" w:rsidR="0011338A" w:rsidRDefault="0011338A" w:rsidP="00366F50">
      <w:pPr>
        <w:ind w:right="-567"/>
      </w:pPr>
      <w:r>
        <w:t xml:space="preserve">Training Analysis: </w:t>
      </w:r>
    </w:p>
    <w:p w14:paraId="30D35202" w14:textId="49C6645E" w:rsidR="0011338A" w:rsidRDefault="0011338A" w:rsidP="00366F50">
      <w:pPr>
        <w:pStyle w:val="ListParagraph"/>
        <w:numPr>
          <w:ilvl w:val="0"/>
          <w:numId w:val="3"/>
        </w:numPr>
        <w:tabs>
          <w:tab w:val="center" w:pos="4751"/>
        </w:tabs>
        <w:ind w:right="-567"/>
      </w:pPr>
      <w:r>
        <w:t>No of Training applied under each head</w:t>
      </w:r>
    </w:p>
    <w:p w14:paraId="75A225A1" w14:textId="77777777" w:rsidR="0011338A" w:rsidRDefault="0011338A" w:rsidP="00366F50">
      <w:pPr>
        <w:pStyle w:val="ListParagraph"/>
        <w:numPr>
          <w:ilvl w:val="0"/>
          <w:numId w:val="3"/>
        </w:numPr>
        <w:ind w:right="-567"/>
      </w:pPr>
      <w:r>
        <w:t>No of training completed under each head</w:t>
      </w:r>
      <w:r>
        <w:t xml:space="preserve"> </w:t>
      </w:r>
    </w:p>
    <w:p w14:paraId="6A16DB71" w14:textId="7C2013BD" w:rsidR="0011338A" w:rsidRDefault="0011338A" w:rsidP="00366F50">
      <w:pPr>
        <w:pStyle w:val="ListParagraph"/>
        <w:numPr>
          <w:ilvl w:val="0"/>
          <w:numId w:val="3"/>
        </w:numPr>
        <w:ind w:right="-567"/>
      </w:pPr>
      <w:r>
        <w:t>Training result of each head</w:t>
      </w:r>
    </w:p>
    <w:p w14:paraId="09ED60F6" w14:textId="77777777" w:rsidR="0011338A" w:rsidRDefault="0011338A" w:rsidP="00366F50">
      <w:pPr>
        <w:pStyle w:val="ListParagraph"/>
        <w:numPr>
          <w:ilvl w:val="0"/>
          <w:numId w:val="3"/>
        </w:numPr>
        <w:ind w:right="-567"/>
      </w:pPr>
      <w:r>
        <w:t>No. of company Sponsored Trainings under each head (</w:t>
      </w:r>
      <w:r w:rsidRPr="0011338A">
        <w:rPr>
          <w:rFonts w:ascii="Calibri" w:eastAsia="Calibri" w:hAnsi="Calibri" w:cs="Calibri"/>
          <w:i/>
        </w:rPr>
        <w:t>Marks &gt;=95 is CS</w:t>
      </w:r>
      <w:r>
        <w:t>)</w:t>
      </w:r>
    </w:p>
    <w:p w14:paraId="72AD67D9" w14:textId="258E55DD" w:rsidR="0011338A" w:rsidRPr="0011338A" w:rsidRDefault="0011338A" w:rsidP="00366F50">
      <w:pPr>
        <w:pStyle w:val="ListParagraph"/>
        <w:numPr>
          <w:ilvl w:val="0"/>
          <w:numId w:val="3"/>
        </w:numPr>
        <w:ind w:right="-567"/>
      </w:pPr>
      <w:r w:rsidRPr="0011338A">
        <w:t>Training applied</w:t>
      </w:r>
      <w:r w:rsidRPr="0011338A">
        <w:t xml:space="preserve"> for each module</w:t>
      </w:r>
    </w:p>
    <w:p w14:paraId="304EB79E" w14:textId="2FFF58E9" w:rsidR="00366F50" w:rsidRDefault="0011338A" w:rsidP="00366F50">
      <w:pPr>
        <w:pStyle w:val="ListParagraph"/>
        <w:numPr>
          <w:ilvl w:val="0"/>
          <w:numId w:val="3"/>
        </w:numPr>
        <w:spacing w:after="407"/>
        <w:ind w:right="-567"/>
      </w:pPr>
      <w:r>
        <w:t>Percentage of self &amp; company sponsored training</w:t>
      </w:r>
    </w:p>
    <w:p w14:paraId="2A451668" w14:textId="523AAEBF" w:rsidR="00366F50" w:rsidRDefault="00366F50" w:rsidP="00366F50">
      <w:pPr>
        <w:spacing w:after="407" w:line="240" w:lineRule="auto"/>
        <w:ind w:right="-567"/>
      </w:pPr>
      <w:r>
        <w:t>Cost Analysis:</w:t>
      </w:r>
    </w:p>
    <w:p w14:paraId="377951BF" w14:textId="77777777" w:rsidR="00366F50" w:rsidRDefault="00366F50" w:rsidP="00366F50">
      <w:pPr>
        <w:pStyle w:val="ListParagraph"/>
        <w:numPr>
          <w:ilvl w:val="0"/>
          <w:numId w:val="4"/>
        </w:numPr>
        <w:spacing w:after="407" w:line="240" w:lineRule="auto"/>
        <w:ind w:right="-567"/>
      </w:pPr>
      <w:r>
        <w:t>Department wise total salary</w:t>
      </w:r>
    </w:p>
    <w:p w14:paraId="4441EE8B" w14:textId="77777777" w:rsidR="00366F50" w:rsidRDefault="00366F50" w:rsidP="00366F50">
      <w:pPr>
        <w:pStyle w:val="ListParagraph"/>
        <w:numPr>
          <w:ilvl w:val="0"/>
          <w:numId w:val="4"/>
        </w:numPr>
        <w:spacing w:after="407" w:line="240" w:lineRule="auto"/>
        <w:ind w:right="-567"/>
      </w:pPr>
      <w:r>
        <w:t>Department wise cost of company sponsored training</w:t>
      </w:r>
    </w:p>
    <w:p w14:paraId="30692263" w14:textId="77777777" w:rsidR="00366F50" w:rsidRDefault="00366F50" w:rsidP="00366F50">
      <w:pPr>
        <w:pStyle w:val="ListParagraph"/>
        <w:numPr>
          <w:ilvl w:val="0"/>
          <w:numId w:val="4"/>
        </w:numPr>
        <w:tabs>
          <w:tab w:val="center" w:pos="5877"/>
        </w:tabs>
        <w:spacing w:line="240" w:lineRule="auto"/>
        <w:ind w:right="-567"/>
      </w:pPr>
      <w:r>
        <w:t>Bifurcation of company &amp; self-sponsored training under each module</w:t>
      </w:r>
    </w:p>
    <w:p w14:paraId="34E6E65B" w14:textId="7DD09CFE" w:rsidR="00366F50" w:rsidRDefault="00366F50" w:rsidP="00366F50">
      <w:pPr>
        <w:pStyle w:val="ListParagraph"/>
        <w:numPr>
          <w:ilvl w:val="0"/>
          <w:numId w:val="4"/>
        </w:numPr>
        <w:spacing w:after="415"/>
        <w:ind w:right="-567"/>
      </w:pPr>
      <w:r>
        <w:t>Total no of trainings conducted under each module along with the total cost.</w:t>
      </w:r>
    </w:p>
    <w:p w14:paraId="2409A7BE" w14:textId="77777777" w:rsidR="00366F50" w:rsidRPr="00366F50" w:rsidRDefault="00366F50" w:rsidP="00366F50">
      <w:pPr>
        <w:spacing w:after="415"/>
        <w:ind w:right="-567"/>
        <w:jc w:val="center"/>
        <w:rPr>
          <w:b/>
          <w:bCs/>
        </w:rPr>
      </w:pPr>
      <w:r w:rsidRPr="00366F50">
        <w:rPr>
          <w:b/>
          <w:bCs/>
        </w:rPr>
        <w:lastRenderedPageBreak/>
        <w:t>Methodology</w:t>
      </w:r>
    </w:p>
    <w:p w14:paraId="2174ED01" w14:textId="77777777" w:rsidR="00366F50" w:rsidRPr="00366F50" w:rsidRDefault="00366F50" w:rsidP="00366F50">
      <w:pPr>
        <w:spacing w:after="415"/>
        <w:ind w:right="-567"/>
      </w:pPr>
      <w:r w:rsidRPr="00366F50">
        <w:t xml:space="preserve">To conduct the Training &amp; Costing Analysis, the following steps were carried out using </w:t>
      </w:r>
      <w:r w:rsidRPr="00366F50">
        <w:rPr>
          <w:b/>
          <w:bCs/>
        </w:rPr>
        <w:t>Power BI</w:t>
      </w:r>
      <w:r w:rsidRPr="00366F50">
        <w:t>:</w:t>
      </w:r>
    </w:p>
    <w:p w14:paraId="1DB5160F" w14:textId="77777777" w:rsidR="00366F50" w:rsidRPr="00366F50" w:rsidRDefault="00366F50" w:rsidP="00366F50">
      <w:pPr>
        <w:numPr>
          <w:ilvl w:val="0"/>
          <w:numId w:val="5"/>
        </w:numPr>
        <w:spacing w:after="415"/>
        <w:ind w:right="-567"/>
      </w:pPr>
      <w:r w:rsidRPr="00366F50">
        <w:rPr>
          <w:b/>
          <w:bCs/>
        </w:rPr>
        <w:t>Data Collection &amp; Import</w:t>
      </w:r>
      <w:r w:rsidRPr="00366F50">
        <w:t>: Raw data from Excel sheets was imported into Power BI, including employee details, training records, and cost-related data.</w:t>
      </w:r>
    </w:p>
    <w:p w14:paraId="471BF6FE" w14:textId="77777777" w:rsidR="00366F50" w:rsidRPr="00366F50" w:rsidRDefault="00366F50" w:rsidP="00366F50">
      <w:pPr>
        <w:numPr>
          <w:ilvl w:val="0"/>
          <w:numId w:val="5"/>
        </w:numPr>
        <w:spacing w:after="415"/>
        <w:ind w:right="-567"/>
      </w:pPr>
      <w:r w:rsidRPr="00366F50">
        <w:rPr>
          <w:b/>
          <w:bCs/>
        </w:rPr>
        <w:t>Data Cleaning &amp; Transformation</w:t>
      </w:r>
      <w:r w:rsidRPr="00366F50">
        <w:t>:</w:t>
      </w:r>
    </w:p>
    <w:p w14:paraId="16DF5B4C" w14:textId="77777777" w:rsidR="00366F50" w:rsidRPr="00366F50" w:rsidRDefault="00366F50" w:rsidP="00366F50">
      <w:pPr>
        <w:pStyle w:val="ListParagraph"/>
        <w:numPr>
          <w:ilvl w:val="0"/>
          <w:numId w:val="6"/>
        </w:numPr>
        <w:spacing w:after="415"/>
        <w:ind w:right="-567"/>
      </w:pPr>
      <w:r w:rsidRPr="00366F50">
        <w:t>Null values and inconsistencies were identified and addressed using Power Query Editor.</w:t>
      </w:r>
    </w:p>
    <w:p w14:paraId="11BE311A" w14:textId="77777777" w:rsidR="00366F50" w:rsidRPr="00366F50" w:rsidRDefault="00366F50" w:rsidP="00366F50">
      <w:pPr>
        <w:pStyle w:val="ListParagraph"/>
        <w:numPr>
          <w:ilvl w:val="0"/>
          <w:numId w:val="6"/>
        </w:numPr>
        <w:spacing w:after="415"/>
        <w:ind w:right="-567"/>
      </w:pPr>
      <w:r w:rsidRPr="00366F50">
        <w:t>Data types were standardized (e.g., dates, numerical costs, categories).</w:t>
      </w:r>
    </w:p>
    <w:p w14:paraId="486E78A7" w14:textId="77777777" w:rsidR="00366F50" w:rsidRPr="00366F50" w:rsidRDefault="00366F50" w:rsidP="00366F50">
      <w:pPr>
        <w:pStyle w:val="ListParagraph"/>
        <w:numPr>
          <w:ilvl w:val="0"/>
          <w:numId w:val="6"/>
        </w:numPr>
        <w:spacing w:after="415"/>
        <w:ind w:right="-567"/>
      </w:pPr>
      <w:r w:rsidRPr="00366F50">
        <w:t>Relationships were created between tables to ensure a robust data model.</w:t>
      </w:r>
    </w:p>
    <w:p w14:paraId="51178013" w14:textId="77777777" w:rsidR="00366F50" w:rsidRPr="00366F50" w:rsidRDefault="00366F50" w:rsidP="00366F50">
      <w:pPr>
        <w:numPr>
          <w:ilvl w:val="0"/>
          <w:numId w:val="5"/>
        </w:numPr>
        <w:spacing w:after="415"/>
        <w:ind w:right="-567"/>
      </w:pPr>
      <w:r w:rsidRPr="00366F50">
        <w:rPr>
          <w:b/>
          <w:bCs/>
        </w:rPr>
        <w:t>Data Modeling</w:t>
      </w:r>
      <w:r w:rsidRPr="00366F50">
        <w:t>:</w:t>
      </w:r>
    </w:p>
    <w:p w14:paraId="0D9937D7" w14:textId="77777777" w:rsidR="00366F50" w:rsidRPr="00366F50" w:rsidRDefault="00366F50" w:rsidP="00366F50">
      <w:pPr>
        <w:pStyle w:val="ListParagraph"/>
        <w:numPr>
          <w:ilvl w:val="0"/>
          <w:numId w:val="7"/>
        </w:numPr>
        <w:spacing w:after="415"/>
        <w:ind w:right="-567"/>
      </w:pPr>
      <w:r w:rsidRPr="00366F50">
        <w:t>Fact and dimension tables were structured for efficient slicing and filtering.</w:t>
      </w:r>
    </w:p>
    <w:p w14:paraId="49FFEBE7" w14:textId="77777777" w:rsidR="00366F50" w:rsidRPr="00366F50" w:rsidRDefault="00366F50" w:rsidP="00366F50">
      <w:pPr>
        <w:pStyle w:val="ListParagraph"/>
        <w:numPr>
          <w:ilvl w:val="0"/>
          <w:numId w:val="7"/>
        </w:numPr>
        <w:spacing w:after="415"/>
        <w:ind w:right="-567"/>
      </w:pPr>
      <w:r w:rsidRPr="00366F50">
        <w:t>Measures and calculated columns were created using DAX to calculate KPIs such as total cost, cost per employee, and average training hours.</w:t>
      </w:r>
    </w:p>
    <w:p w14:paraId="7A09CA9E" w14:textId="77777777" w:rsidR="00366F50" w:rsidRPr="00366F50" w:rsidRDefault="00366F50" w:rsidP="00366F50">
      <w:pPr>
        <w:numPr>
          <w:ilvl w:val="0"/>
          <w:numId w:val="5"/>
        </w:numPr>
        <w:spacing w:after="415"/>
        <w:ind w:right="-567"/>
      </w:pPr>
      <w:r w:rsidRPr="00366F50">
        <w:rPr>
          <w:b/>
          <w:bCs/>
        </w:rPr>
        <w:t>Visualization</w:t>
      </w:r>
      <w:r w:rsidRPr="00366F50">
        <w:t>:</w:t>
      </w:r>
    </w:p>
    <w:p w14:paraId="64AEF719" w14:textId="77777777" w:rsidR="00366F50" w:rsidRPr="00366F50" w:rsidRDefault="00366F50" w:rsidP="00366F50">
      <w:pPr>
        <w:pStyle w:val="ListParagraph"/>
        <w:numPr>
          <w:ilvl w:val="0"/>
          <w:numId w:val="8"/>
        </w:numPr>
        <w:spacing w:after="415"/>
        <w:ind w:right="-567"/>
      </w:pPr>
      <w:r w:rsidRPr="00366F50">
        <w:t>Interactive dashboards were designed using bar charts, pie charts, slicers, and tables.</w:t>
      </w:r>
    </w:p>
    <w:p w14:paraId="274A62E9" w14:textId="77777777" w:rsidR="00366F50" w:rsidRPr="00366F50" w:rsidRDefault="00366F50" w:rsidP="00366F50">
      <w:pPr>
        <w:pStyle w:val="ListParagraph"/>
        <w:numPr>
          <w:ilvl w:val="0"/>
          <w:numId w:val="8"/>
        </w:numPr>
        <w:spacing w:after="415"/>
        <w:ind w:right="-567"/>
      </w:pPr>
      <w:r w:rsidRPr="00366F50">
        <w:t>KPIs were displayed using cards and gauge charts for quick insights.</w:t>
      </w:r>
    </w:p>
    <w:p w14:paraId="54F24484" w14:textId="5FAA7734" w:rsidR="00366F50" w:rsidRPr="00366F50" w:rsidRDefault="00366F50" w:rsidP="00366F50">
      <w:pPr>
        <w:pStyle w:val="ListParagraph"/>
        <w:numPr>
          <w:ilvl w:val="0"/>
          <w:numId w:val="8"/>
        </w:numPr>
        <w:spacing w:after="415"/>
        <w:ind w:right="-567"/>
      </w:pPr>
      <w:r w:rsidRPr="00366F50">
        <w:t>Filters were applied for departments, designations, and training types to allow for deeper drill-downs.</w:t>
      </w:r>
    </w:p>
    <w:p w14:paraId="6F3C674D" w14:textId="35353300" w:rsidR="00366F50" w:rsidRPr="00366F50" w:rsidRDefault="00366F50" w:rsidP="00366F50">
      <w:pPr>
        <w:numPr>
          <w:ilvl w:val="0"/>
          <w:numId w:val="5"/>
        </w:numPr>
        <w:spacing w:after="415"/>
        <w:ind w:right="-567"/>
      </w:pPr>
      <w:r w:rsidRPr="00366F50">
        <w:rPr>
          <w:b/>
          <w:bCs/>
        </w:rPr>
        <w:t>Insight Extraction</w:t>
      </w:r>
      <w:r w:rsidRPr="00366F50">
        <w:t>:</w:t>
      </w:r>
    </w:p>
    <w:p w14:paraId="7B53E7D6" w14:textId="77777777" w:rsidR="00366F50" w:rsidRPr="00366F50" w:rsidRDefault="00366F50" w:rsidP="00366F50">
      <w:pPr>
        <w:pStyle w:val="ListParagraph"/>
        <w:numPr>
          <w:ilvl w:val="0"/>
          <w:numId w:val="9"/>
        </w:numPr>
        <w:spacing w:after="415"/>
        <w:ind w:right="-567"/>
      </w:pPr>
      <w:r w:rsidRPr="00366F50">
        <w:t>Visual patterns and trends were observed and documented.</w:t>
      </w:r>
    </w:p>
    <w:p w14:paraId="5CF1E81D" w14:textId="77777777" w:rsidR="00366F50" w:rsidRDefault="00366F50" w:rsidP="00366F50">
      <w:pPr>
        <w:pStyle w:val="ListParagraph"/>
        <w:numPr>
          <w:ilvl w:val="0"/>
          <w:numId w:val="9"/>
        </w:numPr>
        <w:spacing w:after="415"/>
        <w:ind w:right="-567"/>
      </w:pPr>
      <w:r w:rsidRPr="00366F50">
        <w:t>Comparisons between departments and cost vs. outcome analysis were performed.</w:t>
      </w:r>
    </w:p>
    <w:p w14:paraId="54B17BEA" w14:textId="77777777" w:rsidR="00366F50" w:rsidRDefault="00366F50" w:rsidP="00366F50">
      <w:pPr>
        <w:spacing w:after="415"/>
        <w:ind w:right="-567"/>
        <w:jc w:val="center"/>
        <w:rPr>
          <w:b/>
          <w:bCs/>
        </w:rPr>
      </w:pPr>
    </w:p>
    <w:p w14:paraId="68709DDA" w14:textId="77777777" w:rsidR="00366F50" w:rsidRDefault="00366F50" w:rsidP="00366F50">
      <w:pPr>
        <w:spacing w:after="415"/>
        <w:ind w:right="-567"/>
        <w:jc w:val="center"/>
        <w:rPr>
          <w:b/>
          <w:bCs/>
        </w:rPr>
      </w:pPr>
    </w:p>
    <w:p w14:paraId="040E5C6B" w14:textId="77777777" w:rsidR="00366F50" w:rsidRDefault="00366F50" w:rsidP="00366F50">
      <w:pPr>
        <w:spacing w:after="415"/>
        <w:ind w:right="-567"/>
        <w:jc w:val="center"/>
        <w:rPr>
          <w:b/>
          <w:bCs/>
        </w:rPr>
      </w:pPr>
    </w:p>
    <w:p w14:paraId="26F500E0" w14:textId="77777777" w:rsidR="00366F50" w:rsidRDefault="00366F50" w:rsidP="00366F50">
      <w:pPr>
        <w:spacing w:after="415"/>
        <w:ind w:right="-567"/>
        <w:jc w:val="center"/>
        <w:rPr>
          <w:b/>
          <w:bCs/>
        </w:rPr>
      </w:pPr>
    </w:p>
    <w:p w14:paraId="21A93F74" w14:textId="77777777" w:rsidR="00366F50" w:rsidRDefault="00366F50" w:rsidP="00366F50">
      <w:pPr>
        <w:spacing w:after="415"/>
        <w:ind w:right="-567"/>
        <w:rPr>
          <w:b/>
          <w:bCs/>
        </w:rPr>
      </w:pPr>
    </w:p>
    <w:p w14:paraId="13558662" w14:textId="3E8F7C88" w:rsidR="00366F50" w:rsidRPr="00366F50" w:rsidRDefault="00366F50" w:rsidP="00366F50">
      <w:pPr>
        <w:spacing w:after="415"/>
        <w:ind w:right="-567"/>
        <w:jc w:val="center"/>
        <w:rPr>
          <w:b/>
          <w:bCs/>
        </w:rPr>
      </w:pPr>
      <w:r w:rsidRPr="00366F50">
        <w:rPr>
          <w:b/>
          <w:bCs/>
        </w:rPr>
        <w:lastRenderedPageBreak/>
        <w:t>Key Findings</w:t>
      </w:r>
    </w:p>
    <w:p w14:paraId="531111D3" w14:textId="77777777" w:rsidR="00366F50" w:rsidRPr="00366F50" w:rsidRDefault="00366F50" w:rsidP="00366F50">
      <w:pPr>
        <w:spacing w:after="415"/>
        <w:ind w:right="-567"/>
      </w:pPr>
      <w:r w:rsidRPr="00366F50">
        <w:t>Some of the key insights derived from the analysis include:</w:t>
      </w:r>
    </w:p>
    <w:p w14:paraId="50E5BCA5" w14:textId="77777777" w:rsidR="00366F50" w:rsidRPr="00366F50" w:rsidRDefault="00366F50" w:rsidP="00366F50">
      <w:pPr>
        <w:pStyle w:val="ListParagraph"/>
        <w:numPr>
          <w:ilvl w:val="0"/>
          <w:numId w:val="10"/>
        </w:numPr>
        <w:spacing w:after="415"/>
        <w:ind w:right="-567"/>
      </w:pPr>
      <w:r w:rsidRPr="00366F50">
        <w:rPr>
          <w:b/>
          <w:bCs/>
        </w:rPr>
        <w:t>Training Participation</w:t>
      </w:r>
      <w:r w:rsidRPr="00366F50">
        <w:t>:</w:t>
      </w:r>
    </w:p>
    <w:p w14:paraId="1882DC7C" w14:textId="77777777" w:rsidR="00366F50" w:rsidRPr="00366F50" w:rsidRDefault="00366F50" w:rsidP="00366F50">
      <w:pPr>
        <w:pStyle w:val="ListParagraph"/>
        <w:numPr>
          <w:ilvl w:val="1"/>
          <w:numId w:val="10"/>
        </w:numPr>
        <w:spacing w:after="415"/>
        <w:ind w:right="-567"/>
      </w:pPr>
      <w:r w:rsidRPr="00366F50">
        <w:t>The Sales and HR departments showed the highest training attendance.</w:t>
      </w:r>
    </w:p>
    <w:p w14:paraId="6F515304" w14:textId="77777777" w:rsidR="00366F50" w:rsidRPr="00366F50" w:rsidRDefault="00366F50" w:rsidP="00366F50">
      <w:pPr>
        <w:pStyle w:val="ListParagraph"/>
        <w:numPr>
          <w:ilvl w:val="1"/>
          <w:numId w:val="10"/>
        </w:numPr>
        <w:spacing w:after="415"/>
        <w:ind w:right="-567"/>
      </w:pPr>
      <w:r w:rsidRPr="00366F50">
        <w:t>Certain departments had lower engagement, indicating a need for improved awareness or relevance of training content.</w:t>
      </w:r>
    </w:p>
    <w:p w14:paraId="1DEAB5B8" w14:textId="77777777" w:rsidR="00366F50" w:rsidRPr="00366F50" w:rsidRDefault="00366F50" w:rsidP="00366F50">
      <w:pPr>
        <w:pStyle w:val="ListParagraph"/>
        <w:numPr>
          <w:ilvl w:val="0"/>
          <w:numId w:val="10"/>
        </w:numPr>
        <w:spacing w:after="415"/>
        <w:ind w:right="-567"/>
      </w:pPr>
      <w:r w:rsidRPr="00366F50">
        <w:rPr>
          <w:b/>
          <w:bCs/>
        </w:rPr>
        <w:t>Cost Analysis</w:t>
      </w:r>
      <w:r w:rsidRPr="00366F50">
        <w:t>:</w:t>
      </w:r>
    </w:p>
    <w:p w14:paraId="504A11A9" w14:textId="77777777" w:rsidR="00366F50" w:rsidRPr="00366F50" w:rsidRDefault="00366F50" w:rsidP="00366F50">
      <w:pPr>
        <w:pStyle w:val="ListParagraph"/>
        <w:numPr>
          <w:ilvl w:val="1"/>
          <w:numId w:val="10"/>
        </w:numPr>
        <w:spacing w:after="415"/>
        <w:ind w:right="-567"/>
      </w:pPr>
      <w:r w:rsidRPr="00366F50">
        <w:t>A significant portion of the training budget was spent on external trainers.</w:t>
      </w:r>
    </w:p>
    <w:p w14:paraId="4494549D" w14:textId="77777777" w:rsidR="00366F50" w:rsidRPr="00366F50" w:rsidRDefault="00366F50" w:rsidP="00366F50">
      <w:pPr>
        <w:pStyle w:val="ListParagraph"/>
        <w:numPr>
          <w:ilvl w:val="1"/>
          <w:numId w:val="10"/>
        </w:numPr>
        <w:spacing w:after="415"/>
        <w:ind w:right="-567"/>
      </w:pPr>
      <w:r w:rsidRPr="00366F50">
        <w:t>Some training sessions showed high costs with low participation, suggesting a need for reassessment.</w:t>
      </w:r>
    </w:p>
    <w:p w14:paraId="097EEB2C" w14:textId="77777777" w:rsidR="00366F50" w:rsidRPr="00366F50" w:rsidRDefault="00366F50" w:rsidP="00366F50">
      <w:pPr>
        <w:pStyle w:val="ListParagraph"/>
        <w:numPr>
          <w:ilvl w:val="0"/>
          <w:numId w:val="10"/>
        </w:numPr>
        <w:spacing w:after="415"/>
        <w:ind w:right="-567"/>
      </w:pPr>
      <w:r w:rsidRPr="00366F50">
        <w:rPr>
          <w:b/>
          <w:bCs/>
        </w:rPr>
        <w:t>Performance Insights</w:t>
      </w:r>
      <w:r w:rsidRPr="00366F50">
        <w:t>:</w:t>
      </w:r>
    </w:p>
    <w:p w14:paraId="6510AC2E" w14:textId="77777777" w:rsidR="00366F50" w:rsidRPr="00366F50" w:rsidRDefault="00366F50" w:rsidP="00366F50">
      <w:pPr>
        <w:pStyle w:val="ListParagraph"/>
        <w:numPr>
          <w:ilvl w:val="1"/>
          <w:numId w:val="10"/>
        </w:numPr>
        <w:spacing w:after="415"/>
        <w:ind w:right="-567"/>
      </w:pPr>
      <w:r w:rsidRPr="00366F50">
        <w:t>Online training formats proved to be more cost-effective than in-person sessions.</w:t>
      </w:r>
    </w:p>
    <w:p w14:paraId="4BAA5F90" w14:textId="77777777" w:rsidR="00366F50" w:rsidRPr="00366F50" w:rsidRDefault="00366F50" w:rsidP="00366F50">
      <w:pPr>
        <w:pStyle w:val="ListParagraph"/>
        <w:numPr>
          <w:ilvl w:val="1"/>
          <w:numId w:val="10"/>
        </w:numPr>
        <w:spacing w:after="415"/>
        <w:ind w:right="-567"/>
      </w:pPr>
      <w:r w:rsidRPr="00366F50">
        <w:t>Departments with higher training hours per employee generally had better performance metrics.</w:t>
      </w:r>
    </w:p>
    <w:p w14:paraId="62210501" w14:textId="77777777" w:rsidR="00366F50" w:rsidRPr="00366F50" w:rsidRDefault="00366F50" w:rsidP="00366F50">
      <w:pPr>
        <w:pStyle w:val="ListParagraph"/>
        <w:numPr>
          <w:ilvl w:val="0"/>
          <w:numId w:val="10"/>
        </w:numPr>
        <w:spacing w:after="415"/>
        <w:ind w:right="-567"/>
      </w:pPr>
      <w:r w:rsidRPr="00366F50">
        <w:rPr>
          <w:b/>
          <w:bCs/>
        </w:rPr>
        <w:t>Optimization Opportunities</w:t>
      </w:r>
      <w:r w:rsidRPr="00366F50">
        <w:t>:</w:t>
      </w:r>
    </w:p>
    <w:p w14:paraId="27C9F492" w14:textId="77777777" w:rsidR="00366F50" w:rsidRPr="00366F50" w:rsidRDefault="00366F50" w:rsidP="00366F50">
      <w:pPr>
        <w:pStyle w:val="ListParagraph"/>
        <w:numPr>
          <w:ilvl w:val="1"/>
          <w:numId w:val="10"/>
        </w:numPr>
        <w:spacing w:after="415"/>
        <w:ind w:right="-567"/>
      </w:pPr>
      <w:r w:rsidRPr="00366F50">
        <w:t>Consolidating similar training topics can reduce redundant costs.</w:t>
      </w:r>
    </w:p>
    <w:p w14:paraId="09B84C86" w14:textId="77777777" w:rsidR="00366F50" w:rsidRPr="00366F50" w:rsidRDefault="00366F50" w:rsidP="00366F50">
      <w:pPr>
        <w:pStyle w:val="ListParagraph"/>
        <w:numPr>
          <w:ilvl w:val="1"/>
          <w:numId w:val="10"/>
        </w:numPr>
        <w:spacing w:after="415"/>
        <w:ind w:right="-567"/>
      </w:pPr>
      <w:r w:rsidRPr="00366F50">
        <w:t>Shifting some in-person sessions to virtual formats could further optimize budget utilization.</w:t>
      </w:r>
    </w:p>
    <w:p w14:paraId="7E855D41" w14:textId="77777777" w:rsidR="00366F50" w:rsidRPr="00366F50" w:rsidRDefault="00366F50" w:rsidP="00366F50">
      <w:pPr>
        <w:pStyle w:val="ListParagraph"/>
        <w:spacing w:after="415"/>
        <w:ind w:left="1800" w:right="-567"/>
      </w:pPr>
    </w:p>
    <w:p w14:paraId="1F83E690" w14:textId="77777777" w:rsidR="00366F50" w:rsidRPr="00366F50" w:rsidRDefault="00366F50" w:rsidP="00366F50">
      <w:pPr>
        <w:spacing w:after="415"/>
        <w:ind w:right="-567"/>
        <w:jc w:val="center"/>
        <w:rPr>
          <w:b/>
          <w:bCs/>
        </w:rPr>
      </w:pPr>
      <w:r w:rsidRPr="00366F50">
        <w:rPr>
          <w:b/>
          <w:bCs/>
        </w:rPr>
        <w:t>Conclusion</w:t>
      </w:r>
    </w:p>
    <w:p w14:paraId="2230EF44" w14:textId="77777777" w:rsidR="00366F50" w:rsidRPr="00366F50" w:rsidRDefault="00366F50" w:rsidP="00366F50">
      <w:pPr>
        <w:spacing w:after="415"/>
        <w:ind w:right="-567"/>
      </w:pPr>
      <w:r w:rsidRPr="00366F50">
        <w:t xml:space="preserve">The Training &amp; Costing Analysis project highlights the importance of aligning training initiatives with strategic workforce goals while maintaining cost efficiency. Through this Power BI-driven analysis, actionable insights were generated that reveal not just how much is being spent on training, but </w:t>
      </w:r>
      <w:r w:rsidRPr="00366F50">
        <w:rPr>
          <w:b/>
          <w:bCs/>
        </w:rPr>
        <w:t>how effectively</w:t>
      </w:r>
      <w:r w:rsidRPr="00366F50">
        <w:t xml:space="preserve"> that investment is contributing to employee development and organizational performance.</w:t>
      </w:r>
    </w:p>
    <w:p w14:paraId="4A57CC15" w14:textId="77777777" w:rsidR="00366F50" w:rsidRPr="00366F50" w:rsidRDefault="00366F50" w:rsidP="00366F50">
      <w:pPr>
        <w:spacing w:after="415"/>
        <w:ind w:right="-567"/>
      </w:pPr>
      <w:r w:rsidRPr="00366F50">
        <w:t>The data revealed both strengths and areas for improvement, showcasing departments with high engagement as well as those that require attention. By linking cost data with participation and performance, this project delivers a comprehensive overview that aids in future planning and informed decision-making.</w:t>
      </w:r>
    </w:p>
    <w:p w14:paraId="253D2D4E" w14:textId="2C077DEC" w:rsidR="00366F50" w:rsidRPr="00366F50" w:rsidRDefault="00366F50" w:rsidP="00366F50">
      <w:pPr>
        <w:spacing w:after="415"/>
        <w:ind w:right="-567"/>
      </w:pPr>
    </w:p>
    <w:p w14:paraId="5BCE7EF7" w14:textId="77777777" w:rsidR="00366F50" w:rsidRDefault="00366F50" w:rsidP="00366F50">
      <w:pPr>
        <w:spacing w:after="415"/>
        <w:ind w:right="-567"/>
        <w:rPr>
          <w:b/>
          <w:bCs/>
        </w:rPr>
      </w:pPr>
    </w:p>
    <w:p w14:paraId="704E4604" w14:textId="77777777" w:rsidR="00366F50" w:rsidRDefault="00366F50" w:rsidP="00366F50">
      <w:pPr>
        <w:spacing w:after="415"/>
        <w:ind w:right="-567"/>
        <w:rPr>
          <w:b/>
          <w:bCs/>
        </w:rPr>
      </w:pPr>
    </w:p>
    <w:p w14:paraId="2123F57E" w14:textId="77777777" w:rsidR="00366F50" w:rsidRDefault="00366F50" w:rsidP="00366F50">
      <w:pPr>
        <w:spacing w:after="415"/>
        <w:ind w:right="-567"/>
        <w:rPr>
          <w:b/>
          <w:bCs/>
        </w:rPr>
      </w:pPr>
    </w:p>
    <w:p w14:paraId="048A273E" w14:textId="77777777" w:rsidR="00366F50" w:rsidRDefault="00366F50" w:rsidP="00366F50">
      <w:pPr>
        <w:spacing w:after="415"/>
        <w:ind w:right="-567"/>
        <w:rPr>
          <w:b/>
          <w:bCs/>
        </w:rPr>
      </w:pPr>
    </w:p>
    <w:p w14:paraId="5C1ECC66" w14:textId="77777777" w:rsidR="00366F50" w:rsidRDefault="00366F50" w:rsidP="00366F50">
      <w:pPr>
        <w:spacing w:after="415"/>
        <w:ind w:right="-567"/>
        <w:rPr>
          <w:b/>
          <w:bCs/>
        </w:rPr>
      </w:pPr>
    </w:p>
    <w:p w14:paraId="36FFBD7D" w14:textId="43101C69" w:rsidR="00366F50" w:rsidRPr="00366F50" w:rsidRDefault="00366F50" w:rsidP="003B6CD6">
      <w:pPr>
        <w:spacing w:after="415"/>
        <w:ind w:right="-567"/>
        <w:jc w:val="center"/>
        <w:rPr>
          <w:b/>
          <w:bCs/>
        </w:rPr>
      </w:pPr>
      <w:r w:rsidRPr="00366F50">
        <w:rPr>
          <w:b/>
          <w:bCs/>
        </w:rPr>
        <w:lastRenderedPageBreak/>
        <w:t>Recommendations</w:t>
      </w:r>
    </w:p>
    <w:p w14:paraId="0C152813" w14:textId="77777777" w:rsidR="00366F50" w:rsidRPr="00366F50" w:rsidRDefault="00366F50" w:rsidP="00366F50">
      <w:pPr>
        <w:spacing w:after="415"/>
        <w:ind w:right="-567"/>
      </w:pPr>
      <w:r w:rsidRPr="00366F50">
        <w:t>Based on the findings, the following steps are recommended:</w:t>
      </w:r>
    </w:p>
    <w:p w14:paraId="22AF1534" w14:textId="77777777" w:rsidR="00366F50" w:rsidRPr="00366F50" w:rsidRDefault="00366F50" w:rsidP="00366F50">
      <w:pPr>
        <w:numPr>
          <w:ilvl w:val="0"/>
          <w:numId w:val="11"/>
        </w:numPr>
        <w:spacing w:after="415"/>
        <w:ind w:right="-567"/>
      </w:pPr>
      <w:r w:rsidRPr="00366F50">
        <w:rPr>
          <w:b/>
          <w:bCs/>
        </w:rPr>
        <w:t>Reassess Low-Value Training Programs</w:t>
      </w:r>
      <w:r w:rsidRPr="00366F50">
        <w:t>: Evaluate programs with high cost but low participation or impact and consider replacing or redesigning them.</w:t>
      </w:r>
    </w:p>
    <w:p w14:paraId="31CD3D7D" w14:textId="77777777" w:rsidR="00366F50" w:rsidRPr="00366F50" w:rsidRDefault="00366F50" w:rsidP="00366F50">
      <w:pPr>
        <w:numPr>
          <w:ilvl w:val="0"/>
          <w:numId w:val="11"/>
        </w:numPr>
        <w:spacing w:after="415"/>
        <w:ind w:right="-567"/>
      </w:pPr>
      <w:r w:rsidRPr="00366F50">
        <w:rPr>
          <w:b/>
          <w:bCs/>
        </w:rPr>
        <w:t>Promote Online Training</w:t>
      </w:r>
      <w:r w:rsidRPr="00366F50">
        <w:t>: Expand the use of online modules to reduce costs while maintaining accessibility.</w:t>
      </w:r>
    </w:p>
    <w:p w14:paraId="29BCB6D5" w14:textId="77777777" w:rsidR="00366F50" w:rsidRPr="00366F50" w:rsidRDefault="00366F50" w:rsidP="00366F50">
      <w:pPr>
        <w:numPr>
          <w:ilvl w:val="0"/>
          <w:numId w:val="11"/>
        </w:numPr>
        <w:spacing w:after="415"/>
        <w:ind w:right="-567"/>
      </w:pPr>
      <w:r w:rsidRPr="00366F50">
        <w:rPr>
          <w:b/>
          <w:bCs/>
        </w:rPr>
        <w:t>Optimize Budget Allocation</w:t>
      </w:r>
      <w:r w:rsidRPr="00366F50">
        <w:t>: Focus funding on departments with high training ROI and reduce expenses on redundant or underperforming sessions.</w:t>
      </w:r>
    </w:p>
    <w:p w14:paraId="47BEDBBA" w14:textId="77777777" w:rsidR="00366F50" w:rsidRPr="00366F50" w:rsidRDefault="00366F50" w:rsidP="00366F50">
      <w:pPr>
        <w:numPr>
          <w:ilvl w:val="0"/>
          <w:numId w:val="11"/>
        </w:numPr>
        <w:spacing w:after="415"/>
        <w:ind w:right="-567"/>
      </w:pPr>
      <w:r w:rsidRPr="00366F50">
        <w:rPr>
          <w:b/>
          <w:bCs/>
        </w:rPr>
        <w:t>Increase Awareness</w:t>
      </w:r>
      <w:r w:rsidRPr="00366F50">
        <w:t>: Conduct internal surveys or campaigns to boost awareness and relevance of training opportunities, especially in under-engaged departments.</w:t>
      </w:r>
    </w:p>
    <w:p w14:paraId="000039F4" w14:textId="77777777" w:rsidR="00366F50" w:rsidRPr="00366F50" w:rsidRDefault="00366F50" w:rsidP="00366F50">
      <w:pPr>
        <w:numPr>
          <w:ilvl w:val="0"/>
          <w:numId w:val="11"/>
        </w:numPr>
        <w:spacing w:after="415"/>
        <w:ind w:right="-567"/>
      </w:pPr>
      <w:r w:rsidRPr="00366F50">
        <w:rPr>
          <w:b/>
          <w:bCs/>
        </w:rPr>
        <w:t>Monitor Regularly</w:t>
      </w:r>
      <w:r w:rsidRPr="00366F50">
        <w:t>: Implement a continuous dashboard monitoring system to track training trends in real-time and adapt strategies dynamically.</w:t>
      </w:r>
    </w:p>
    <w:p w14:paraId="6D13EF8F" w14:textId="5A55D52E" w:rsidR="00366F50" w:rsidRDefault="003B6CD6" w:rsidP="003B6CD6">
      <w:pPr>
        <w:spacing w:after="415"/>
        <w:ind w:right="-567"/>
        <w:jc w:val="center"/>
        <w:rPr>
          <w:b/>
          <w:bCs/>
          <w:color w:val="000000" w:themeColor="text1"/>
        </w:rPr>
      </w:pPr>
      <w:r w:rsidRPr="003B6CD6">
        <w:rPr>
          <w:b/>
          <w:bCs/>
          <w:color w:val="000000" w:themeColor="text1"/>
        </w:rPr>
        <w:t>Visualizations</w:t>
      </w:r>
    </w:p>
    <w:p w14:paraId="2123CCFB" w14:textId="73725283" w:rsidR="003B6CD6" w:rsidRPr="003B6CD6" w:rsidRDefault="003B6CD6" w:rsidP="003B6CD6">
      <w:pPr>
        <w:pStyle w:val="ListParagraph"/>
        <w:numPr>
          <w:ilvl w:val="0"/>
          <w:numId w:val="13"/>
        </w:numPr>
        <w:spacing w:after="415"/>
        <w:ind w:left="284" w:right="-567"/>
        <w:rPr>
          <w:b/>
          <w:bCs/>
          <w:color w:val="000000" w:themeColor="text1"/>
        </w:rPr>
      </w:pPr>
      <w:r>
        <w:rPr>
          <w:b/>
          <w:bCs/>
          <w:color w:val="000000" w:themeColor="text1"/>
        </w:rPr>
        <w:t>Dashboard 1: Training Analysis</w:t>
      </w:r>
      <w:r w:rsidRPr="003B6CD6">
        <w:t xml:space="preserve"> </w:t>
      </w:r>
      <w:r>
        <w:rPr>
          <w:noProof/>
        </w:rPr>
        <w:drawing>
          <wp:inline distT="0" distB="0" distL="0" distR="0" wp14:anchorId="0CBBDC59" wp14:editId="3E140E8E">
            <wp:extent cx="6985000" cy="4275455"/>
            <wp:effectExtent l="0" t="0" r="6350" b="0"/>
            <wp:docPr id="1007619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5583" cy="4281933"/>
                    </a:xfrm>
                    <a:prstGeom prst="rect">
                      <a:avLst/>
                    </a:prstGeom>
                    <a:noFill/>
                    <a:ln>
                      <a:noFill/>
                    </a:ln>
                  </pic:spPr>
                </pic:pic>
              </a:graphicData>
            </a:graphic>
          </wp:inline>
        </w:drawing>
      </w:r>
    </w:p>
    <w:p w14:paraId="24F6CEB9" w14:textId="77777777" w:rsidR="00366F50" w:rsidRDefault="00366F50" w:rsidP="00366F50">
      <w:pPr>
        <w:pStyle w:val="ListParagraph"/>
        <w:tabs>
          <w:tab w:val="center" w:pos="5877"/>
        </w:tabs>
        <w:spacing w:line="240" w:lineRule="auto"/>
        <w:ind w:left="1440" w:right="-567"/>
      </w:pPr>
    </w:p>
    <w:p w14:paraId="3B759E42" w14:textId="58EE04CB" w:rsidR="00366F50" w:rsidRDefault="003B6CD6" w:rsidP="003B6CD6">
      <w:pPr>
        <w:pStyle w:val="ListParagraph"/>
        <w:numPr>
          <w:ilvl w:val="0"/>
          <w:numId w:val="13"/>
        </w:numPr>
        <w:spacing w:after="407"/>
        <w:ind w:left="284" w:right="-567" w:hanging="284"/>
        <w:rPr>
          <w:b/>
          <w:bCs/>
        </w:rPr>
      </w:pPr>
      <w:r w:rsidRPr="003B6CD6">
        <w:rPr>
          <w:b/>
          <w:bCs/>
        </w:rPr>
        <w:lastRenderedPageBreak/>
        <w:t>Dashboard 2: Cost Analysis</w:t>
      </w:r>
    </w:p>
    <w:p w14:paraId="7811728A" w14:textId="79948A94" w:rsidR="003B6CD6" w:rsidRPr="003B6CD6" w:rsidRDefault="003B6CD6" w:rsidP="003B6CD6">
      <w:pPr>
        <w:pStyle w:val="ListParagraph"/>
        <w:ind w:left="284" w:right="-709"/>
        <w:rPr>
          <w:b/>
          <w:bCs/>
        </w:rPr>
      </w:pPr>
      <w:r>
        <w:rPr>
          <w:noProof/>
        </w:rPr>
        <w:drawing>
          <wp:inline distT="0" distB="0" distL="0" distR="0" wp14:anchorId="61FD819E" wp14:editId="67526CEE">
            <wp:extent cx="6959600" cy="4292600"/>
            <wp:effectExtent l="0" t="0" r="0" b="0"/>
            <wp:docPr id="379458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9470" cy="4298688"/>
                    </a:xfrm>
                    <a:prstGeom prst="rect">
                      <a:avLst/>
                    </a:prstGeom>
                    <a:noFill/>
                    <a:ln>
                      <a:noFill/>
                    </a:ln>
                  </pic:spPr>
                </pic:pic>
              </a:graphicData>
            </a:graphic>
          </wp:inline>
        </w:drawing>
      </w:r>
    </w:p>
    <w:p w14:paraId="6F284CA6" w14:textId="2B835BA9" w:rsidR="003B6CD6" w:rsidRPr="003B6CD6" w:rsidRDefault="003B6CD6" w:rsidP="003B6CD6">
      <w:pPr>
        <w:pStyle w:val="ListParagraph"/>
        <w:spacing w:after="407"/>
        <w:ind w:right="-567"/>
        <w:rPr>
          <w:b/>
          <w:bCs/>
        </w:rPr>
      </w:pPr>
    </w:p>
    <w:p w14:paraId="25AB03F0" w14:textId="0880A2AE" w:rsidR="00366F50" w:rsidRDefault="003B6CD6" w:rsidP="00366F50">
      <w:pPr>
        <w:spacing w:after="415" w:line="240" w:lineRule="auto"/>
        <w:ind w:right="-567"/>
      </w:pPr>
      <w:r>
        <w:rPr>
          <w:noProof/>
        </w:rPr>
        <mc:AlternateContent>
          <mc:Choice Requires="wps">
            <w:drawing>
              <wp:anchor distT="0" distB="0" distL="114300" distR="114300" simplePos="0" relativeHeight="251659264" behindDoc="0" locked="0" layoutInCell="1" allowOverlap="1" wp14:anchorId="49ED9A05" wp14:editId="4FE87BEF">
                <wp:simplePos x="0" y="0"/>
                <wp:positionH relativeFrom="column">
                  <wp:posOffset>207010</wp:posOffset>
                </wp:positionH>
                <wp:positionV relativeFrom="paragraph">
                  <wp:posOffset>227965</wp:posOffset>
                </wp:positionV>
                <wp:extent cx="6840000" cy="0"/>
                <wp:effectExtent l="38100" t="76200" r="18415" b="114300"/>
                <wp:wrapNone/>
                <wp:docPr id="93145983" name="Straight Connector 5"/>
                <wp:cNvGraphicFramePr/>
                <a:graphic xmlns:a="http://schemas.openxmlformats.org/drawingml/2006/main">
                  <a:graphicData uri="http://schemas.microsoft.com/office/word/2010/wordprocessingShape">
                    <wps:wsp>
                      <wps:cNvCnPr/>
                      <wps:spPr>
                        <a:xfrm flipV="1">
                          <a:off x="0" y="0"/>
                          <a:ext cx="6840000" cy="0"/>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6D521"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17.95pt" to="554.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" strokecolor="black [3200]">
                <v:stroke startarrow="open" endarrow="open"/>
              </v:line>
            </w:pict>
          </mc:Fallback>
        </mc:AlternateContent>
      </w:r>
    </w:p>
    <w:sectPr w:rsidR="00366F50" w:rsidSect="00366F50">
      <w:footerReference w:type="default" r:id="rId10"/>
      <w:pgSz w:w="12240" w:h="15840"/>
      <w:pgMar w:top="142" w:right="900" w:bottom="0" w:left="567" w:header="720" w:footer="1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A068F" w14:textId="77777777" w:rsidR="0064375E" w:rsidRDefault="0064375E" w:rsidP="00366F50">
      <w:pPr>
        <w:spacing w:after="0" w:line="240" w:lineRule="auto"/>
      </w:pPr>
      <w:r>
        <w:separator/>
      </w:r>
    </w:p>
  </w:endnote>
  <w:endnote w:type="continuationSeparator" w:id="0">
    <w:p w14:paraId="0EACD93D" w14:textId="77777777" w:rsidR="0064375E" w:rsidRDefault="0064375E" w:rsidP="0036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847432"/>
      <w:docPartObj>
        <w:docPartGallery w:val="Page Numbers (Bottom of Page)"/>
        <w:docPartUnique/>
      </w:docPartObj>
    </w:sdtPr>
    <w:sdtEndPr>
      <w:rPr>
        <w:noProof/>
      </w:rPr>
    </w:sdtEndPr>
    <w:sdtContent>
      <w:p w14:paraId="4F623390" w14:textId="3A7F0DF8" w:rsidR="00366F50" w:rsidRDefault="00366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C58ECD" w14:textId="77777777" w:rsidR="00366F50" w:rsidRDefault="00366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93C9A" w14:textId="77777777" w:rsidR="0064375E" w:rsidRDefault="0064375E" w:rsidP="00366F50">
      <w:pPr>
        <w:spacing w:after="0" w:line="240" w:lineRule="auto"/>
      </w:pPr>
      <w:r>
        <w:separator/>
      </w:r>
    </w:p>
  </w:footnote>
  <w:footnote w:type="continuationSeparator" w:id="0">
    <w:p w14:paraId="017EE467" w14:textId="77777777" w:rsidR="0064375E" w:rsidRDefault="0064375E" w:rsidP="00366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35B"/>
    <w:multiLevelType w:val="multilevel"/>
    <w:tmpl w:val="2184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C83"/>
    <w:multiLevelType w:val="hybridMultilevel"/>
    <w:tmpl w:val="4B0A38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941AE6"/>
    <w:multiLevelType w:val="hybridMultilevel"/>
    <w:tmpl w:val="4240EB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3E1507"/>
    <w:multiLevelType w:val="multilevel"/>
    <w:tmpl w:val="C47C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5F19"/>
    <w:multiLevelType w:val="hybridMultilevel"/>
    <w:tmpl w:val="1C5E99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664B3E"/>
    <w:multiLevelType w:val="multilevel"/>
    <w:tmpl w:val="7FE29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44F1D"/>
    <w:multiLevelType w:val="hybridMultilevel"/>
    <w:tmpl w:val="94005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71A7B"/>
    <w:multiLevelType w:val="hybridMultilevel"/>
    <w:tmpl w:val="1308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D238A"/>
    <w:multiLevelType w:val="hybridMultilevel"/>
    <w:tmpl w:val="31A4CC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A5423F9"/>
    <w:multiLevelType w:val="hybridMultilevel"/>
    <w:tmpl w:val="8A902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06D07"/>
    <w:multiLevelType w:val="multilevel"/>
    <w:tmpl w:val="F86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863B7"/>
    <w:multiLevelType w:val="hybridMultilevel"/>
    <w:tmpl w:val="9B860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901E2"/>
    <w:multiLevelType w:val="hybridMultilevel"/>
    <w:tmpl w:val="E9724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8438441">
    <w:abstractNumId w:val="10"/>
  </w:num>
  <w:num w:numId="2" w16cid:durableId="818570992">
    <w:abstractNumId w:val="7"/>
  </w:num>
  <w:num w:numId="3" w16cid:durableId="169757459">
    <w:abstractNumId w:val="11"/>
  </w:num>
  <w:num w:numId="4" w16cid:durableId="540751548">
    <w:abstractNumId w:val="12"/>
  </w:num>
  <w:num w:numId="5" w16cid:durableId="1612128292">
    <w:abstractNumId w:val="5"/>
  </w:num>
  <w:num w:numId="6" w16cid:durableId="449475464">
    <w:abstractNumId w:val="1"/>
  </w:num>
  <w:num w:numId="7" w16cid:durableId="562258115">
    <w:abstractNumId w:val="8"/>
  </w:num>
  <w:num w:numId="8" w16cid:durableId="1573662166">
    <w:abstractNumId w:val="4"/>
  </w:num>
  <w:num w:numId="9" w16cid:durableId="1418941772">
    <w:abstractNumId w:val="2"/>
  </w:num>
  <w:num w:numId="10" w16cid:durableId="2040230271">
    <w:abstractNumId w:val="0"/>
  </w:num>
  <w:num w:numId="11" w16cid:durableId="772894842">
    <w:abstractNumId w:val="3"/>
  </w:num>
  <w:num w:numId="12" w16cid:durableId="2131437959">
    <w:abstractNumId w:val="9"/>
  </w:num>
  <w:num w:numId="13" w16cid:durableId="1972393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14"/>
    <w:rsid w:val="0011338A"/>
    <w:rsid w:val="002E5B65"/>
    <w:rsid w:val="00366F50"/>
    <w:rsid w:val="003B6CD6"/>
    <w:rsid w:val="00405114"/>
    <w:rsid w:val="00603162"/>
    <w:rsid w:val="0064375E"/>
    <w:rsid w:val="00650843"/>
    <w:rsid w:val="006B46ED"/>
    <w:rsid w:val="00A03F68"/>
    <w:rsid w:val="00A327BB"/>
    <w:rsid w:val="00BF66F0"/>
    <w:rsid w:val="00C77A6D"/>
    <w:rsid w:val="00CE63EF"/>
    <w:rsid w:val="00E52E34"/>
    <w:rsid w:val="00EB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1CF05"/>
  <w15:chartTrackingRefBased/>
  <w15:docId w15:val="{162BD098-5689-48C4-90C2-DD5BC3E0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0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114"/>
    <w:rPr>
      <w:rFonts w:eastAsiaTheme="majorEastAsia" w:cstheme="majorBidi"/>
      <w:color w:val="272727" w:themeColor="text1" w:themeTint="D8"/>
    </w:rPr>
  </w:style>
  <w:style w:type="paragraph" w:styleId="Title">
    <w:name w:val="Title"/>
    <w:basedOn w:val="Normal"/>
    <w:next w:val="Normal"/>
    <w:link w:val="TitleChar"/>
    <w:uiPriority w:val="10"/>
    <w:qFormat/>
    <w:rsid w:val="00405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114"/>
    <w:pPr>
      <w:spacing w:before="160"/>
      <w:jc w:val="center"/>
    </w:pPr>
    <w:rPr>
      <w:i/>
      <w:iCs/>
      <w:color w:val="404040" w:themeColor="text1" w:themeTint="BF"/>
    </w:rPr>
  </w:style>
  <w:style w:type="character" w:customStyle="1" w:styleId="QuoteChar">
    <w:name w:val="Quote Char"/>
    <w:basedOn w:val="DefaultParagraphFont"/>
    <w:link w:val="Quote"/>
    <w:uiPriority w:val="29"/>
    <w:rsid w:val="00405114"/>
    <w:rPr>
      <w:i/>
      <w:iCs/>
      <w:color w:val="404040" w:themeColor="text1" w:themeTint="BF"/>
    </w:rPr>
  </w:style>
  <w:style w:type="paragraph" w:styleId="ListParagraph">
    <w:name w:val="List Paragraph"/>
    <w:basedOn w:val="Normal"/>
    <w:uiPriority w:val="34"/>
    <w:qFormat/>
    <w:rsid w:val="00405114"/>
    <w:pPr>
      <w:ind w:left="720"/>
      <w:contextualSpacing/>
    </w:pPr>
  </w:style>
  <w:style w:type="character" w:styleId="IntenseEmphasis">
    <w:name w:val="Intense Emphasis"/>
    <w:basedOn w:val="DefaultParagraphFont"/>
    <w:uiPriority w:val="21"/>
    <w:qFormat/>
    <w:rsid w:val="00405114"/>
    <w:rPr>
      <w:i/>
      <w:iCs/>
      <w:color w:val="2F5496" w:themeColor="accent1" w:themeShade="BF"/>
    </w:rPr>
  </w:style>
  <w:style w:type="paragraph" w:styleId="IntenseQuote">
    <w:name w:val="Intense Quote"/>
    <w:basedOn w:val="Normal"/>
    <w:next w:val="Normal"/>
    <w:link w:val="IntenseQuoteChar"/>
    <w:uiPriority w:val="30"/>
    <w:qFormat/>
    <w:rsid w:val="00405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114"/>
    <w:rPr>
      <w:i/>
      <w:iCs/>
      <w:color w:val="2F5496" w:themeColor="accent1" w:themeShade="BF"/>
    </w:rPr>
  </w:style>
  <w:style w:type="character" w:styleId="IntenseReference">
    <w:name w:val="Intense Reference"/>
    <w:basedOn w:val="DefaultParagraphFont"/>
    <w:uiPriority w:val="32"/>
    <w:qFormat/>
    <w:rsid w:val="00405114"/>
    <w:rPr>
      <w:b/>
      <w:bCs/>
      <w:smallCaps/>
      <w:color w:val="2F5496" w:themeColor="accent1" w:themeShade="BF"/>
      <w:spacing w:val="5"/>
    </w:rPr>
  </w:style>
  <w:style w:type="paragraph" w:styleId="Header">
    <w:name w:val="header"/>
    <w:basedOn w:val="Normal"/>
    <w:link w:val="HeaderChar"/>
    <w:uiPriority w:val="99"/>
    <w:unhideWhenUsed/>
    <w:rsid w:val="00366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F50"/>
  </w:style>
  <w:style w:type="paragraph" w:styleId="Footer">
    <w:name w:val="footer"/>
    <w:basedOn w:val="Normal"/>
    <w:link w:val="FooterChar"/>
    <w:uiPriority w:val="99"/>
    <w:unhideWhenUsed/>
    <w:rsid w:val="00366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495289">
      <w:bodyDiv w:val="1"/>
      <w:marLeft w:val="0"/>
      <w:marRight w:val="0"/>
      <w:marTop w:val="0"/>
      <w:marBottom w:val="0"/>
      <w:divBdr>
        <w:top w:val="none" w:sz="0" w:space="0" w:color="auto"/>
        <w:left w:val="none" w:sz="0" w:space="0" w:color="auto"/>
        <w:bottom w:val="none" w:sz="0" w:space="0" w:color="auto"/>
        <w:right w:val="none" w:sz="0" w:space="0" w:color="auto"/>
      </w:divBdr>
    </w:div>
    <w:div w:id="729114018">
      <w:bodyDiv w:val="1"/>
      <w:marLeft w:val="0"/>
      <w:marRight w:val="0"/>
      <w:marTop w:val="0"/>
      <w:marBottom w:val="0"/>
      <w:divBdr>
        <w:top w:val="none" w:sz="0" w:space="0" w:color="auto"/>
        <w:left w:val="none" w:sz="0" w:space="0" w:color="auto"/>
        <w:bottom w:val="none" w:sz="0" w:space="0" w:color="auto"/>
        <w:right w:val="none" w:sz="0" w:space="0" w:color="auto"/>
      </w:divBdr>
    </w:div>
    <w:div w:id="1060713494">
      <w:bodyDiv w:val="1"/>
      <w:marLeft w:val="0"/>
      <w:marRight w:val="0"/>
      <w:marTop w:val="0"/>
      <w:marBottom w:val="0"/>
      <w:divBdr>
        <w:top w:val="none" w:sz="0" w:space="0" w:color="auto"/>
        <w:left w:val="none" w:sz="0" w:space="0" w:color="auto"/>
        <w:bottom w:val="none" w:sz="0" w:space="0" w:color="auto"/>
        <w:right w:val="none" w:sz="0" w:space="0" w:color="auto"/>
      </w:divBdr>
    </w:div>
    <w:div w:id="1270896227">
      <w:bodyDiv w:val="1"/>
      <w:marLeft w:val="0"/>
      <w:marRight w:val="0"/>
      <w:marTop w:val="0"/>
      <w:marBottom w:val="0"/>
      <w:divBdr>
        <w:top w:val="none" w:sz="0" w:space="0" w:color="auto"/>
        <w:left w:val="none" w:sz="0" w:space="0" w:color="auto"/>
        <w:bottom w:val="none" w:sz="0" w:space="0" w:color="auto"/>
        <w:right w:val="none" w:sz="0" w:space="0" w:color="auto"/>
      </w:divBdr>
    </w:div>
    <w:div w:id="1392577604">
      <w:bodyDiv w:val="1"/>
      <w:marLeft w:val="0"/>
      <w:marRight w:val="0"/>
      <w:marTop w:val="0"/>
      <w:marBottom w:val="0"/>
      <w:divBdr>
        <w:top w:val="none" w:sz="0" w:space="0" w:color="auto"/>
        <w:left w:val="none" w:sz="0" w:space="0" w:color="auto"/>
        <w:bottom w:val="none" w:sz="0" w:space="0" w:color="auto"/>
        <w:right w:val="none" w:sz="0" w:space="0" w:color="auto"/>
      </w:divBdr>
    </w:div>
    <w:div w:id="1502351692">
      <w:bodyDiv w:val="1"/>
      <w:marLeft w:val="0"/>
      <w:marRight w:val="0"/>
      <w:marTop w:val="0"/>
      <w:marBottom w:val="0"/>
      <w:divBdr>
        <w:top w:val="none" w:sz="0" w:space="0" w:color="auto"/>
        <w:left w:val="none" w:sz="0" w:space="0" w:color="auto"/>
        <w:bottom w:val="none" w:sz="0" w:space="0" w:color="auto"/>
        <w:right w:val="none" w:sz="0" w:space="0" w:color="auto"/>
      </w:divBdr>
    </w:div>
    <w:div w:id="1527478188">
      <w:bodyDiv w:val="1"/>
      <w:marLeft w:val="0"/>
      <w:marRight w:val="0"/>
      <w:marTop w:val="0"/>
      <w:marBottom w:val="0"/>
      <w:divBdr>
        <w:top w:val="none" w:sz="0" w:space="0" w:color="auto"/>
        <w:left w:val="none" w:sz="0" w:space="0" w:color="auto"/>
        <w:bottom w:val="none" w:sz="0" w:space="0" w:color="auto"/>
        <w:right w:val="none" w:sz="0" w:space="0" w:color="auto"/>
      </w:divBdr>
    </w:div>
    <w:div w:id="1655791607">
      <w:bodyDiv w:val="1"/>
      <w:marLeft w:val="0"/>
      <w:marRight w:val="0"/>
      <w:marTop w:val="0"/>
      <w:marBottom w:val="0"/>
      <w:divBdr>
        <w:top w:val="none" w:sz="0" w:space="0" w:color="auto"/>
        <w:left w:val="none" w:sz="0" w:space="0" w:color="auto"/>
        <w:bottom w:val="none" w:sz="0" w:space="0" w:color="auto"/>
        <w:right w:val="none" w:sz="0" w:space="0" w:color="auto"/>
      </w:divBdr>
    </w:div>
    <w:div w:id="1864129578">
      <w:bodyDiv w:val="1"/>
      <w:marLeft w:val="0"/>
      <w:marRight w:val="0"/>
      <w:marTop w:val="0"/>
      <w:marBottom w:val="0"/>
      <w:divBdr>
        <w:top w:val="none" w:sz="0" w:space="0" w:color="auto"/>
        <w:left w:val="none" w:sz="0" w:space="0" w:color="auto"/>
        <w:bottom w:val="none" w:sz="0" w:space="0" w:color="auto"/>
        <w:right w:val="none" w:sz="0" w:space="0" w:color="auto"/>
      </w:divBdr>
    </w:div>
    <w:div w:id="196406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1E64D-64B1-42A1-958E-5B9D3ED2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trishna kashyap</dc:creator>
  <cp:keywords/>
  <dc:description/>
  <cp:lastModifiedBy>trishna kashyap</cp:lastModifiedBy>
  <cp:revision>1</cp:revision>
  <dcterms:created xsi:type="dcterms:W3CDTF">2025-04-17T13:41:00Z</dcterms:created>
  <dcterms:modified xsi:type="dcterms:W3CDTF">2025-04-17T14:22:00Z</dcterms:modified>
</cp:coreProperties>
</file>