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UVM-Compliant Constrained-Random Verification Framework for an Automotive Sensor Fusion Coprocessor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Algorithmic &amp; Mathematical Foundations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integrity of a Level 3 to Level 5 autonomous vehicle hinges fundamentally on its perception layer, a complex subsystem tasked with continuously aggregating, processing, and interpreting heterogeneous data from surrounding environments. A centralized sensor fusion coprocessor acts as the deterministic brain of this operation, unifying high-resolution point clouds from LiDAR, velocity profiles from Radar, and spatial categorizations from optical cameras into a singular, probabilistically accurate environmental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decentralized fusion architectures where smart sensors independently classify objects, low-level or centralized object-level fusion ingests raw or lightly pre-processed data directly into a central domain controller. This approach minimizes latency, reduces volumetric and mass footprints, and mitigates the risk of individual sensor blind spots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this coprocessor directly dictates vehicle trajectory—including safety-critical braking and steering actuations—it must adhere to the stringent requirements of the ISO 26262 Automotive Safety Integrity Level D (ASIL-D) standard, necessitating mathematically robust algorithms capable of deterministic hardware execution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Extended Kalman Filter (EKF) Core Algorithm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algorithmic engine responsible for non-linear tracking of dynamic objects across varying temporal planes is the Extended Kalman Filter (EKF). The EKF is a recursive, optimal estimator that processes noisy, asynchronously arriving measurements to produce a statistically minimized variance estimate of a target's state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context of an autonomous vehicle, the state vector </w:t>
      </w:r>
      <w:r w:rsidDel="00000000" w:rsidR="00000000" w:rsidRPr="00000000">
        <w:rPr>
          <w:rFonts w:ascii="Google Sans" w:cs="Google Sans" w:eastAsia="Google Sans" w:hAnsi="Google Sans"/>
          <w:color w:val="1f1f1f"/>
        </w:rPr>
        <w:drawing>
          <wp:inline distB="19050" distT="19050" distL="19050" distR="19050">
            <wp:extent cx="670560" cy="246643"/>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0560" cy="246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encapsulates the physical parameters of tracked entities (longitudinal/lateral position, velocity, acceleration, and yaw rate), while the measurement vector </w:t>
      </w:r>
      <w:r w:rsidDel="00000000" w:rsidR="00000000" w:rsidRPr="00000000">
        <w:rPr>
          <w:rFonts w:ascii="Google Sans" w:cs="Google Sans" w:eastAsia="Google Sans" w:hAnsi="Google Sans"/>
          <w:color w:val="1f1f1f"/>
        </w:rPr>
        <w:drawing>
          <wp:inline distB="19050" distT="19050" distL="19050" distR="19050">
            <wp:extent cx="687705" cy="244517"/>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87705" cy="244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encapsulates the raw sensor observations.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the EKF in the coprocessor is divided into a strictly alternating two-phase recursive sequence: Prediction (Time Update) and Correction (Measurement Update)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During the Prediction phase, the hardware extrapolates the current state and its associated uncertainty (covariance) forward in time based on a predefined kinematic model. This is governed by the state transition matrix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process noise covariance matrix </w:t>
      </w:r>
      <w:r w:rsidDel="00000000" w:rsidR="00000000" w:rsidRPr="00000000">
        <w:rPr>
          <w:rFonts w:ascii="Google Sans" w:cs="Google Sans" w:eastAsia="Google Sans" w:hAnsi="Google Sans"/>
          <w:color w:val="1f1f1f"/>
        </w:rPr>
        <w:drawing>
          <wp:inline distB="19050" distT="19050" distL="19050" distR="19050">
            <wp:extent cx="212169" cy="212169"/>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216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yielding the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state estimate </w:t>
      </w:r>
      <w:r w:rsidDel="00000000" w:rsidR="00000000" w:rsidRPr="00000000">
        <w:rPr>
          <w:rFonts w:ascii="Google Sans" w:cs="Google Sans" w:eastAsia="Google Sans" w:hAnsi="Google Sans"/>
          <w:color w:val="1f1f1f"/>
        </w:rPr>
        <w:drawing>
          <wp:inline distB="19050" distT="19050" distL="19050" distR="19050">
            <wp:extent cx="486608" cy="247166"/>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86608" cy="247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covariance </w:t>
      </w:r>
      <w:r w:rsidDel="00000000" w:rsidR="00000000" w:rsidRPr="00000000">
        <w:rPr>
          <w:rFonts w:ascii="Google Sans" w:cs="Google Sans" w:eastAsia="Google Sans" w:hAnsi="Google Sans"/>
          <w:color w:val="1f1f1f"/>
        </w:rPr>
        <w:drawing>
          <wp:inline distB="19050" distT="19050" distL="19050" distR="19050">
            <wp:extent cx="500420" cy="242628"/>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0420" cy="2426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the arrival of a new sensor measurement, the hardware initiates the Correction phase. This phase calculates the measurement residual, or innovation (</w:t>
      </w:r>
      <w:r w:rsidDel="00000000" w:rsidR="00000000" w:rsidRPr="00000000">
        <w:rPr>
          <w:rFonts w:ascii="Google Sans" w:cs="Google Sans" w:eastAsia="Google Sans" w:hAnsi="Google Sans"/>
          <w:color w:val="1f1f1f"/>
        </w:rPr>
        <w:drawing>
          <wp:inline distB="19050" distT="19050" distL="19050" distR="19050">
            <wp:extent cx="181570" cy="244725"/>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1570" cy="244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comparing the actual sensor data against the predicted observation, utilizing the observation matrix </w:t>
      </w:r>
      <w:r w:rsidDel="00000000" w:rsidR="00000000" w:rsidRPr="00000000">
        <w:rPr>
          <w:rFonts w:ascii="Google Sans" w:cs="Google Sans" w:eastAsia="Google Sans" w:hAnsi="Google Sans"/>
          <w:color w:val="1f1f1f"/>
        </w:rPr>
        <w:drawing>
          <wp:inline distB="19050" distT="19050" distL="19050" distR="19050">
            <wp:extent cx="248245" cy="248245"/>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48245" cy="248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innovation covariance </w:t>
      </w:r>
      <w:r w:rsidDel="00000000" w:rsidR="00000000" w:rsidRPr="00000000">
        <w:rPr>
          <w:rFonts w:ascii="Google Sans" w:cs="Google Sans" w:eastAsia="Google Sans" w:hAnsi="Google Sans"/>
          <w:color w:val="1f1f1f"/>
        </w:rPr>
        <w:drawing>
          <wp:inline distB="19050" distT="19050" distL="19050" distR="19050">
            <wp:extent cx="205621" cy="243699"/>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05621" cy="243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subsequently calculated by combining the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uncertainty with the measurement noise covariance </w:t>
      </w:r>
      <w:r w:rsidDel="00000000" w:rsidR="00000000" w:rsidRPr="00000000">
        <w:rPr>
          <w:rFonts w:ascii="Google Sans" w:cs="Google Sans" w:eastAsia="Google Sans" w:hAnsi="Google Sans"/>
          <w:color w:val="1f1f1f"/>
        </w:rPr>
        <w:drawing>
          <wp:inline distB="19050" distT="19050" distL="19050" distR="19050">
            <wp:extent cx="206693" cy="206693"/>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06693" cy="206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most computationally intensive stage follows: the calculation of the optimal Kalman Gain (</w:t>
      </w:r>
      <w:r w:rsidDel="00000000" w:rsidR="00000000" w:rsidRPr="00000000">
        <w:rPr>
          <w:rFonts w:ascii="Google Sans" w:cs="Google Sans" w:eastAsia="Google Sans" w:hAnsi="Google Sans"/>
          <w:color w:val="1f1f1f"/>
        </w:rPr>
        <w:drawing>
          <wp:inline distB="19050" distT="19050" distL="19050" distR="19050">
            <wp:extent cx="251817" cy="251817"/>
            <wp:effectExtent b="0" l="0" r="0" t="0"/>
            <wp:docPr id="2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51817" cy="251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dictates how heavily the new sensor measurement should influence the final state estimate. The Kalman Gain requires the matrix inversion of the innovation covariance (</w:t>
      </w:r>
      <w:r w:rsidDel="00000000" w:rsidR="00000000" w:rsidRPr="00000000">
        <w:rPr>
          <w:rFonts w:ascii="Google Sans" w:cs="Google Sans" w:eastAsia="Google Sans" w:hAnsi="Google Sans"/>
          <w:color w:val="1f1f1f"/>
        </w:rPr>
        <w:drawing>
          <wp:inline distB="19050" distT="19050" distL="19050" distR="19050">
            <wp:extent cx="316349" cy="246907"/>
            <wp:effectExtent b="0" l="0" r="0" t="0"/>
            <wp:docPr id="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6349" cy="24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Finally, the </w:t>
      </w:r>
      <w:r w:rsidDel="00000000" w:rsidR="00000000" w:rsidRPr="00000000">
        <w:rPr>
          <w:rFonts w:ascii="Google Sans" w:cs="Google Sans" w:eastAsia="Google Sans" w:hAnsi="Google Sans"/>
          <w:i w:val="1"/>
          <w:iCs w:val="1"/>
          <w:color w:val="1f1f1f"/>
          <w:rtl w:val="0"/>
        </w:rPr>
        <w:t xml:space="preserve">a posteriori</w:t>
      </w:r>
      <w:r w:rsidDel="00000000" w:rsidR="00000000" w:rsidRPr="00000000">
        <w:rPr>
          <w:rFonts w:ascii="Google Sans" w:cs="Google Sans" w:eastAsia="Google Sans" w:hAnsi="Google Sans"/>
          <w:color w:val="1f1f1f"/>
          <w:rtl w:val="0"/>
        </w:rPr>
        <w:t xml:space="preserve"> state estimate </w:t>
      </w:r>
      <w:r w:rsidDel="00000000" w:rsidR="00000000" w:rsidRPr="00000000">
        <w:rPr>
          <w:rFonts w:ascii="Google Sans" w:cs="Google Sans" w:eastAsia="Google Sans" w:hAnsi="Google Sans"/>
          <w:color w:val="1f1f1f"/>
        </w:rPr>
        <w:drawing>
          <wp:inline distB="19050" distT="19050" distL="19050" distR="19050">
            <wp:extent cx="311348" cy="243004"/>
            <wp:effectExtent b="0" l="0" r="0" t="0"/>
            <wp:docPr id="2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11348" cy="2430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updated covariance </w:t>
      </w:r>
      <w:r w:rsidDel="00000000" w:rsidR="00000000" w:rsidRPr="00000000">
        <w:rPr>
          <w:rFonts w:ascii="Google Sans" w:cs="Google Sans" w:eastAsia="Google Sans" w:hAnsi="Google Sans"/>
          <w:color w:val="1f1f1f"/>
        </w:rPr>
        <w:drawing>
          <wp:inline distB="19050" distT="19050" distL="19050" distR="19050">
            <wp:extent cx="325160" cy="247741"/>
            <wp:effectExtent b="0" l="0" r="0" t="0"/>
            <wp:docPr id="2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25160" cy="247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generated, producing the refined output for the vehicle's path-planning modules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Translation and Hardware Constraints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between continuous-time probabilistic mathematics and discrete, finite-state hardware requires mapping physical constraints directly into Register Transfer Level (RTL) parameters. The table below outlines how real-world autonomous driving phenomena are translated into deterministic hardware logic within the coprocessor.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Physical/Environmental Constraint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Representation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Hardware/RTL Implementation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Sensor Asynchrony &amp; Dropouts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w:t>
            </w:r>
            <w:r w:rsidDel="00000000" w:rsidR="00000000" w:rsidRPr="00000000">
              <w:rPr>
                <w:rFonts w:ascii="Google Sans" w:cs="Google Sans" w:eastAsia="Google Sans" w:hAnsi="Google Sans"/>
                <w:color w:val="1f1f1f"/>
                <w:shd w:fill="auto" w:val="clear"/>
              </w:rPr>
              <w:drawing>
                <wp:inline distB="19050" distT="19050" distL="19050" distR="19050">
                  <wp:extent cx="155853" cy="210401"/>
                  <wp:effectExtent b="0" l="0" r="0" t="0"/>
                  <wp:docPr id="3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55853" cy="2104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PTP-based synchronization windowing logic. Missing data triggers the bypass of the EKF Correction phase; </w:t>
            </w:r>
            <w:r w:rsidDel="00000000" w:rsidR="00000000" w:rsidRPr="00000000">
              <w:rPr>
                <w:rFonts w:ascii="Google Sans" w:cs="Google Sans" w:eastAsia="Google Sans" w:hAnsi="Google Sans"/>
                <w:color w:val="1f1f1f"/>
                <w:shd w:fill="auto" w:val="clear"/>
              </w:rPr>
              <w:drawing>
                <wp:inline distB="19050" distT="19050" distL="19050" distR="19050">
                  <wp:extent cx="528042" cy="170837"/>
                  <wp:effectExtent b="0" l="0" r="0" t="0"/>
                  <wp:docPr id="31"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28042" cy="1708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forwarded directly to </w:t>
            </w:r>
            <w:r w:rsidDel="00000000" w:rsidR="00000000" w:rsidRPr="00000000">
              <w:rPr>
                <w:rFonts w:ascii="Google Sans" w:cs="Google Sans" w:eastAsia="Google Sans" w:hAnsi="Google Sans"/>
                <w:color w:val="1f1f1f"/>
                <w:shd w:fill="auto" w:val="clear"/>
              </w:rPr>
              <w:drawing>
                <wp:inline distB="19050" distT="19050" distL="19050" distR="19050">
                  <wp:extent cx="439936" cy="169800"/>
                  <wp:effectExtent b="0" l="0" r="0" t="0"/>
                  <wp:docPr id="3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39936" cy="1698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increasing bounded uncertainty without stalling the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 Sensor Reliability (Noise)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w:t>
            </w:r>
            <w:r w:rsidDel="00000000" w:rsidR="00000000" w:rsidRPr="00000000">
              <w:rPr>
                <w:rFonts w:ascii="Google Sans" w:cs="Google Sans" w:eastAsia="Google Sans" w:hAnsi="Google Sans"/>
                <w:color w:val="1f1f1f"/>
                <w:shd w:fill="auto" w:val="clear"/>
              </w:rPr>
              <w:drawing>
                <wp:inline distB="19050" distT="19050" distL="19050" distR="19050">
                  <wp:extent cx="206693" cy="206693"/>
                  <wp:effectExtent b="0" l="0" r="0" t="0"/>
                  <wp:docPr id="3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06693" cy="2066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covariance adjustment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 CPU updates APB configuration registers to dynamically scale </w:t>
            </w:r>
            <w:r w:rsidDel="00000000" w:rsidR="00000000" w:rsidRPr="00000000">
              <w:rPr>
                <w:rFonts w:ascii="Google Sans" w:cs="Google Sans" w:eastAsia="Google Sans" w:hAnsi="Google Sans"/>
                <w:color w:val="1f1f1f"/>
                <w:shd w:fill="auto" w:val="clear"/>
              </w:rPr>
              <w:drawing>
                <wp:inline distB="19050" distT="19050" distL="19050" distR="19050">
                  <wp:extent cx="206693" cy="206693"/>
                  <wp:effectExtent b="0" l="0" r="0" t="0"/>
                  <wp:docPr id="3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06693" cy="2066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variances based on diagnostic flags (e.g., LiDAR blinded by rain), forcing the Kalman Gain to rely on the predictive </w:t>
            </w:r>
            <w:r w:rsidDel="00000000" w:rsidR="00000000" w:rsidRPr="00000000">
              <w:rPr>
                <w:rFonts w:ascii="Google Sans" w:cs="Google Sans" w:eastAsia="Google Sans" w:hAnsi="Google Sans"/>
                <w:color w:val="1f1f1f"/>
                <w:shd w:fill="auto" w:val="clear"/>
              </w:rPr>
              <w:drawing>
                <wp:inline distB="19050" distT="19050" distL="19050" distR="19050">
                  <wp:extent cx="212169" cy="212169"/>
                  <wp:effectExtent b="0" l="0" r="0" t="0"/>
                  <wp:docPr id="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2169" cy="2121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model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Floating-Point Area/Power Overhead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Fractional approximations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Utilization of Q16.16 signed fixed-point arithmetic across all internal data buses. Dedicated DSP48/MAC saturation logic prevents catastrophic mathematical overflow or filter divergence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Instability of Division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16349" cy="246907"/>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6349" cy="2469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Calculation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Replacement of direct matrix inversion with QR Decomposition via Modified Gram-Schmidt (QRD-MGS). The inverse is computed using deep systolic arrays and backward substitution to maintain numerical stability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Non-Linear Observation Distortions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Clutter in point clouds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Pre-processing integration of Density-Based Spatial Clustering of Applications with Noise (DBSCAN) logic to filter outliers before EKF ingestion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utilize fixed-point arithmetic (specifically a Q16.16 format allowing for robust dynamic range and fractional precision) significantly reduces the silicon footprint and thermal design power compared to floating-point units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this introduces the risk of quantization noise and arithmetic overflow. Within the recursive covariance updates, variance clamping mechanisms are engineered into the multiplier-accumulator (MAC) pipelines. If a covariance value exceeds the maximum representable integer, the hardware saturates the value to the maximum boundary rather than rolling over, preventing the Kalman Gain from collapsing to zero or generating unbounded state projections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matrix inversion (</w:t>
      </w:r>
      <w:r w:rsidDel="00000000" w:rsidR="00000000" w:rsidRPr="00000000">
        <w:rPr>
          <w:rFonts w:ascii="Google Sans" w:cs="Google Sans" w:eastAsia="Google Sans" w:hAnsi="Google Sans"/>
          <w:color w:val="1f1f1f"/>
        </w:rPr>
        <w:drawing>
          <wp:inline distB="19050" distT="19050" distL="19050" distR="19050">
            <wp:extent cx="316349" cy="246907"/>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6349" cy="246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presents severe structural hazards for real-time ASICs. Direct inversion methods, such as Gaussian elimination, suffer from poor numerical stability and dynamic branching, making them unsuitable for pipelined hardware. The coprocessor circumvents this by employing the Modified Gram-Schmidt (MGS) QR decomposition algorithm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orthogonally decomposing the innovation covariance matrix into an orthogonal matrix </w:t>
      </w:r>
      <w:r w:rsidDel="00000000" w:rsidR="00000000" w:rsidRPr="00000000">
        <w:rPr>
          <w:rFonts w:ascii="Google Sans" w:cs="Google Sans" w:eastAsia="Google Sans" w:hAnsi="Google Sans"/>
          <w:color w:val="1f1f1f"/>
        </w:rPr>
        <w:drawing>
          <wp:inline distB="19050" distT="19050" distL="19050" distR="19050">
            <wp:extent cx="155019" cy="248031"/>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55019" cy="248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upper triangular matrix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hardware utilizes stable backward substitution to derive the inverse without wide-bit division trees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Hardware Microarchitecture Breakdown (RTL Layer)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sensor fusion coprocessor capable of achieving ISO 26262 ASIL-D certification necessitates an architecture that prioritizes strict deterministic timing and exhaustive structural redundancy. ASIL-D represents the highest degree of automotive hazard, dictating that the system must achieve a single-point fault detection rate of </w:t>
      </w:r>
      <w:r w:rsidDel="00000000" w:rsidR="00000000" w:rsidRPr="00000000">
        <w:rPr>
          <w:rFonts w:ascii="Google Sans" w:cs="Google Sans" w:eastAsia="Google Sans" w:hAnsi="Google Sans"/>
          <w:color w:val="1f1f1f"/>
        </w:rPr>
        <w:drawing>
          <wp:inline distB="19050" distT="19050" distL="19050" distR="19050">
            <wp:extent cx="565904" cy="240315"/>
            <wp:effectExtent b="0" l="0" r="0" t="0"/>
            <wp:docPr id="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65904" cy="24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latent fault detection rate of </w:t>
      </w:r>
      <w:r w:rsidDel="00000000" w:rsidR="00000000" w:rsidRPr="00000000">
        <w:rPr>
          <w:rFonts w:ascii="Google Sans" w:cs="Google Sans" w:eastAsia="Google Sans" w:hAnsi="Google Sans"/>
          <w:color w:val="1f1f1f"/>
        </w:rPr>
        <w:drawing>
          <wp:inline distB="19050" distT="19050" distL="19050" distR="19050">
            <wp:extent cx="565904" cy="240315"/>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65904" cy="24031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satisfy these quantitative thresholds, the microarchitecture is partitioned into two physically and logically isolated zones: the Main Domain (MD), which processes the high-bandwidth perception pipeline, and the Safety Island (SAIL), which acts as a highly privileged diagnostic overarching monitor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Sub-Module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core is designed as a deep, feed-forward dataflow engine, orchestrated to maintain maximum utilization of the DSP slices while minimizing stall cycles. The architecture relies on standard System-on-Chip (SoC) interconnects to interface with the broader vehicle network. The AMBA AXI4-Stream protocol is deployed for all high-speed sensor data ingestion and processed state vector egress. AXI4-Stream's tdata, tvalid, and tready signals provide essential backpressure mechanisms, while the tuser sideband is strictly reserved for carrying 64-bit IEEE 1588 Precision Time Protocol (PTP) timestamps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timestamping is crucial for the coprocessor to align spatially disparate sensor frames onto a unified temporal plane. For low-speed configuration and diagnostic polling, an AMBA APB (Advanced Peripheral Bus) slave interface is utilized, enabling the primary host controller to asynchronously read safety flags or write dynamic noise parameters to the EKF matrix registers without interrupting the main dataflow.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Sub-Module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Microarchitectural Description &amp; Pipeline Responsibility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Ingest &amp; Sync DMA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Terminates AXI4-Stream interfaces from multiple sensor domains. Extracts PTP timestamps and routes data into synchronized FIFO elasticity buffers.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DBSCAN Pre-Processor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density-based spatial clustering to remove environmental noise (e.g., rain, snow scatter) from raw point clouds before passing filtered centroids to the EKF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EKF Prediction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Instantiates a parallelized array of MAC blocks to perform </w:t>
            </w:r>
            <w:r w:rsidDel="00000000" w:rsidR="00000000" w:rsidRPr="00000000">
              <w:rPr>
                <w:rFonts w:ascii="Google Sans" w:cs="Google Sans" w:eastAsia="Google Sans" w:hAnsi="Google Sans"/>
                <w:color w:val="1f1f1f"/>
                <w:shd w:fill="auto" w:val="clear"/>
              </w:rPr>
              <w:drawing>
                <wp:inline distB="19050" distT="19050" distL="19050" distR="19050">
                  <wp:extent cx="515660" cy="207803"/>
                  <wp:effectExtent b="0" l="0" r="0" t="0"/>
                  <wp:docPr id="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15660" cy="2078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758904" cy="204904"/>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758904" cy="2049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matrix multiplications. Operates strictly on fixed-point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QRD-MGS Inverter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deep systolic array implementing Modified Gram-Schmidt orthogonalization to compute </w:t>
            </w:r>
            <w:r w:rsidDel="00000000" w:rsidR="00000000" w:rsidRPr="00000000">
              <w:rPr>
                <w:rFonts w:ascii="Google Sans" w:cs="Google Sans" w:eastAsia="Google Sans" w:hAnsi="Google Sans"/>
                <w:color w:val="1f1f1f"/>
                <w:shd w:fill="auto" w:val="clear"/>
              </w:rPr>
              <w:drawing>
                <wp:inline distB="19050" distT="19050" distL="19050" distR="19050">
                  <wp:extent cx="1982153" cy="167721"/>
                  <wp:effectExtent b="0" l="0" r="0" t="0"/>
                  <wp:docPr id="9"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1982153" cy="16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Kalman Gain extraction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Update Adder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Synchronizes the delayed </w:t>
            </w:r>
            <w:r w:rsidDel="00000000" w:rsidR="00000000" w:rsidRPr="00000000">
              <w:rPr>
                <w:rFonts w:ascii="Google Sans" w:cs="Google Sans" w:eastAsia="Google Sans" w:hAnsi="Google Sans"/>
                <w:i w:val="1"/>
                <w:iCs w:val="1"/>
                <w:color w:val="1f1f1f"/>
                <w:shd w:fill="auto" w:val="clear"/>
                <w:rtl w:val="0"/>
              </w:rPr>
              <w:t xml:space="preserve">a priori</w:t>
            </w:r>
            <w:r w:rsidDel="00000000" w:rsidR="00000000" w:rsidRPr="00000000">
              <w:rPr>
                <w:rFonts w:ascii="Google Sans" w:cs="Google Sans" w:eastAsia="Google Sans" w:hAnsi="Google Sans"/>
                <w:color w:val="1f1f1f"/>
                <w:shd w:fill="auto" w:val="clear"/>
                <w:rtl w:val="0"/>
              </w:rPr>
              <w:t xml:space="preserve"> estimates with the freshly computed Kalman Gain to generate the final </w:t>
            </w:r>
            <w:r w:rsidDel="00000000" w:rsidR="00000000" w:rsidRPr="00000000">
              <w:rPr>
                <w:rFonts w:ascii="Google Sans" w:cs="Google Sans" w:eastAsia="Google Sans" w:hAnsi="Google Sans"/>
                <w:i w:val="1"/>
                <w:iCs w:val="1"/>
                <w:color w:val="1f1f1f"/>
                <w:shd w:fill="auto" w:val="clear"/>
                <w:rtl w:val="0"/>
              </w:rPr>
              <w:t xml:space="preserve">a posteriori</w:t>
            </w:r>
            <w:r w:rsidDel="00000000" w:rsidR="00000000" w:rsidRPr="00000000">
              <w:rPr>
                <w:rFonts w:ascii="Google Sans" w:cs="Google Sans" w:eastAsia="Google Sans" w:hAnsi="Google Sans"/>
                <w:color w:val="1f1f1f"/>
                <w:shd w:fill="auto" w:val="clear"/>
                <w:rtl w:val="0"/>
              </w:rPr>
              <w:t xml:space="preserve"> state </w:t>
            </w:r>
            <w:r w:rsidDel="00000000" w:rsidR="00000000" w:rsidRPr="00000000">
              <w:rPr>
                <w:rFonts w:ascii="Google Sans" w:cs="Google Sans" w:eastAsia="Google Sans" w:hAnsi="Google Sans"/>
                <w:color w:val="1f1f1f"/>
                <w:shd w:fill="auto" w:val="clear"/>
              </w:rPr>
              <w:drawing>
                <wp:inline distB="19050" distT="19050" distL="19050" distR="19050">
                  <wp:extent cx="791051" cy="168962"/>
                  <wp:effectExtent b="0" l="0" r="0" t="0"/>
                  <wp:docPr id="1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791051" cy="1689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via pipelined ripple-carry adders.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Safety Island (SAIL)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isolated ASIL-D subsystem operating a redundant lockstep monitor. Executes continuous checksum validations and monitors ECC syndrome outputs from the Main Domain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Staging and Latency Management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low-latency throughput capable of handling simultaneous multi-gigabit streams from 360-degree radar arrays and high-definition cameras, the internal RTL must aggressively pipeline complex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timing bottleneck within the EKF algorithm is the QRD-MGS matrix inverter. A naive implementation would require the rest of the EKF pipeline to stall while the inverter calculates the Kalman Gain.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pipeline bubbling, the architecture utilizes a highly unrolled, forward-feeding systolic array for the QRD-MGS module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Data flows diagonally through a grid of Processing Elements (PEs), where each stage computes vector norms and orthogonalizes subsequent columns concurrently. Because this systolic approach incurs a fixed, deterministic number of clock cycles, the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state vector (</w:t>
      </w:r>
      <w:r w:rsidDel="00000000" w:rsidR="00000000" w:rsidRPr="00000000">
        <w:rPr>
          <w:rFonts w:ascii="Google Sans" w:cs="Google Sans" w:eastAsia="Google Sans" w:hAnsi="Google Sans"/>
          <w:color w:val="1f1f1f"/>
        </w:rPr>
        <w:drawing>
          <wp:inline distB="19050" distT="19050" distL="19050" distR="19050">
            <wp:extent cx="486608" cy="247166"/>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86608" cy="247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covariance (</w:t>
      </w:r>
      <w:r w:rsidDel="00000000" w:rsidR="00000000" w:rsidRPr="00000000">
        <w:rPr>
          <w:rFonts w:ascii="Google Sans" w:cs="Google Sans" w:eastAsia="Google Sans" w:hAnsi="Google Sans"/>
          <w:color w:val="1f1f1f"/>
        </w:rPr>
        <w:drawing>
          <wp:inline distB="19050" distT="19050" distL="19050" distR="19050">
            <wp:extent cx="500420" cy="242628"/>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0420" cy="242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by the Prediction Unit are shunted into precisely calibrated delay FIFOs. These delay lines act as temporal alignment buffers, ensuring that the previously computed data arrives at the State Update Adder at the exact clock cycle the newly inverted matrix emerges from the QRD pipeline. This zero-stall architecture guarantees that the maximum latency from sensor ingest to state output is strictly bounded, a mandatory requirement for high-speed automated braking systems.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ASIL-D Fault Tolerance: SECDED and Safety Island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exceptional fault tolerance demanded by ISO 26262 ASIL-D, the coprocessor cannot solely rely on mathematical robustness; it must actively detect and correct transient (soft) errors induced by alpha particles, thermal noise, or voltage droops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internal memory array, FIFO, and critical data bus is protected by Single-Error Correction, Double-Error Detection (SECDED) logic utilizing extended Hamming (Hsiao) codes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64-bit internal data paths, the RTL generator synthesizes an 8-bit parity vector, resulting in a 72-bit codeword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Hsiao parity-check matrix is specifically optimized to minimize the logic depth of the XOR trees, ensuring that the SECDED logic does not become the critical path dictating the maximum clock frequency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During every clock cycle, the decoding logic generates a syndrome vector. If the syndrome is zero, the data is clean. If the syndrome identifies a single-bit flip, the hardware transparently inverts the corrupted bit before the next pipeline stage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Safety Island (SAIL) plays a critical role in managing these events. While single-bit errors are corrected transparently, the SAIL increments a diagnostic telemetry counter. If a double-bit error is detected—which is uncorrectable and indicates severe data corruption—the SAIL immediately asserts a high-priority hardware interrupt, bypassing the compromised Main Domain entirely. This instantly alerts the primary vehicle controller to enter a minimum risk condition (e.g., initiating a safe stop and disengaging autonomous mode) well within the defined Fault Tolerant Time Interval (FTTI)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Object-Oriented Verification Strategy (OOP Layer)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a complex, safety-critical ASIL-D coprocessor requires an exhaustive Constrained-Random Verification (CRV) approach that explores extreme corner cases, structural boundary conditions, and complex state intersections. The target verification sandbox leverages a modern, open-source Python ecosystem: Verilator serves as the ultra-fast, cycle-accurate RTL compiler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Cocotb acts as the coroutine-based cosimulation interface bridging the simulator with Python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and PyUVM paired with PyVSC provides the IEEE 1800.2 Universal Verification Methodology (UVM) architectural hierarchy and functional coverage capabilities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Class-Based Testbench Hierarchy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traditional verification relies heavily on SystemVerilog, the migration to Python via PyUVM allows verification engineers to leverage Python's multiple inheritance, dynamic typing, and vast open-source libraries (e.g., NumPy/SciPy) for golden reference modeling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testbench hierarchy maps identically to standard UVM topology but executes asynchronously via Cocotb's async/await scheduler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uvm_test class acts as the top-level orchestrator, configured via the @pyuvm.test() decorator. During the build_phase, it utilizes the ConfigDB() singleton to instantiate the uvm_env and securely pass handles to the Verilator DUT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environment encapsulates the uvm_agent, which houses the active uvm_sequencer and uvm_driver. The driver is a Python coroutine that awaits transaction items from the sequencer and translates them into pin-level AXI4-Stream toggles. Concurrently, a passive uvm_monitor observes the output AXI bus, packaging the coprocessor's results into transaction objects and broadcasting them via uvm_tlm_analysis_fifos to the uvm_scoreboard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scoreboard is a vital element for this mathematical coprocessor; it dequeues the RTL outputs and compares them against a Python-based floating-point EKF reference model. Given the RTL's fixed-point quantization, the scoreboard must implement an epsilon-tolerance comparator, successfully passing transactions if the RTL state estimate falls within the maximum bounded quantization error of the continuous mathematical model.</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Transaction Object Definition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the stimulus effectively, a base transaction object must encapsulate not only the sensor payload but also the precise timing characteristics and diagnostic fault injection flags required for ASIL-D verification. The transaction class inherits from uvm_sequence_item and is decorated as a randomizable object.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the target framework utilizes PyVSC for constraint solving in Python (interfacing with the Boolector SMT solver)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exact SystemVerilog inline constraints required to model these complex scenarios are provided below to demonstrate the precise logical and weighted distributions necessary for thorough verification. These SystemVerilog constraints map directly to their PyVSC equivalents.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 sensor_frame_item extends uvm_sequence_item;</w:t>
        <w:br w:type="textWrapping"/>
        <w:t xml:space="preserve">    `uvm_object_utils(sensor_frame_item)</w:t>
        <w:br w:type="textWrapping"/>
        <w:br w:type="textWrapping"/>
        <w:t xml:space="preserve">    // Sensor Identification and Temporal Data</w:t>
        <w:br w:type="textWrapping"/>
        <w:t xml:space="preserve">    rand bit [3:0]  sensor_id;</w:t>
        <w:br w:type="textWrapping"/>
        <w:t xml:space="preserve">    rand longint    timestamp;</w:t>
        <w:br w:type="textWrapping"/>
        <w:t xml:space="preserve">    </w:t>
        <w:br w:type="textWrapping"/>
        <w:t xml:space="preserve">    // Fixed-Point Payload (Observation Vector Z_k)</w:t>
        <w:br w:type="textWrapping"/>
        <w:t xml:space="preserve">    rand shortint   payload_x;</w:t>
        <w:br w:type="textWrapping"/>
        <w:t xml:space="preserve">    rand shortint   payload_y;</w:t>
        <w:br w:type="textWrapping"/>
        <w:t xml:space="preserve">    rand shortint   payload_v;</w:t>
        <w:br w:type="textWrapping"/>
        <w:t xml:space="preserve">    </w:t>
        <w:br w:type="textWrapping"/>
        <w:t xml:space="preserve">    // ASIL-D Fault Injection Flags</w:t>
        <w:br w:type="textWrapping"/>
        <w:t xml:space="preserve">    rand bit        inject_single_bit_err;</w:t>
        <w:br w:type="textWrapping"/>
        <w:t xml:space="preserve">    rand bit        inject_double_bit_err;</w:t>
        <w:br w:type="textWrapping"/>
        <w:t xml:space="preserve">    rand bit [7:0]  ecc_parity;</w:t>
        <w:br w:type="textWrapping"/>
        <w:br w:type="textWrapping"/>
        <w:t xml:space="preserve">    // Base Constraints: Guarantee Fault Isolation during standard testing</w:t>
        <w:br w:type="textWrapping"/>
        <w:t xml:space="preserve">    constraint c_fault_isolation {</w:t>
        <w:br w:type="textWrapping"/>
        <w:t xml:space="preserve">        inject_double_bit_err == 1 -&gt; inject_single_bit_err == 0;</w:t>
        <w:br w:type="textWrapping"/>
        <w:t xml:space="preserve">    }</w:t>
        <w:br w:type="textWrapping"/>
        <w:br w:type="textWrapping"/>
        <w:t xml:space="preserve">    function new(string name = "sensor_frame_item");</w:t>
        <w:br w:type="textWrapping"/>
        <w:t xml:space="preserve">        super.new(name);</w:t>
        <w:br w:type="textWrapping"/>
        <w:t xml:space="preserve">    endfunction</w:t>
        <w:br w:type="textWrapping"/>
        <w:t xml:space="preserve">endclass</w:t>
        <w:br w:type="textWrapping"/>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Constrained-Random Testing Scenarios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robust verification closure, the base transaction object is extended and constrained to simulate extreme real-world and structural boundary conditions.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1: Sudden Sensor Failures and Dropout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platforms frequently endure temporary sensor blinding, such as a camera flooded by direct sunlight or LiDAR obscured by heavy precipitation. The coprocessor must gracefully fall back to the EKF Prediction phase, bypassing the Correction phase while maintaining pipeline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scenario constrains the sequence to intentionally drop specific sensor payloads while artificially accelerating the timestamp vector to force synchronization timeouts.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 dropout_scenario extends sensor_frame_item;</w:t>
        <w:br w:type="textWrapping"/>
        <w:t xml:space="preserve">    `uvm_object_utils(dropout_scenario)</w:t>
        <w:br w:type="textWrapping"/>
        <w:br w:type="textWrapping"/>
        <w:t xml:space="preserve">    // Simulate complete failure of the LiDAR sensor (ID 2)</w:t>
        <w:br w:type="textWrapping"/>
        <w:t xml:space="preserve">    constraint c_lidar_dropout {</w:t>
        <w:br w:type="textWrapping"/>
        <w:t xml:space="preserve">        sensor_id != 4'b0010; </w:t>
        <w:br w:type="textWrapping"/>
        <w:t xml:space="preserve">    }</w:t>
        <w:br w:type="textWrapping"/>
        <w:t xml:space="preserve">    </w:t>
        <w:br w:type="textWrapping"/>
        <w:t xml:space="preserve">    // Force aggressive time jumps to trigger PTP timeout mechanisms</w:t>
        <w:br w:type="textWrapping"/>
        <w:t xml:space="preserve">    constraint c_timestamp_jump {</w:t>
        <w:br w:type="textWrapping"/>
        <w:t xml:space="preserve">        timestamp inside {[100000 : 500000]}; </w:t>
        <w:br w:type="textWrapping"/>
        <w:t xml:space="preserve">    }</w:t>
        <w:br w:type="textWrapping"/>
        <w:t xml:space="preserve">endclass</w:t>
        <w:br w:type="textWrapping"/>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2: Out-of-Order Data Bursts (PTP Jitter)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contention on shared automotive Ethernet or internal SoC buses can cause sensor packets to arrive out of chronological order. The coprocessor's ingestion DMA must correctly buffer, reorder, or safely discard deeply stale packets based on the IEEE 1588 PTP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constraint relies on weighted distributions to simulate severe network jitter.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 jitter_scenario extends sensor_frame_item;</w:t>
        <w:br w:type="textWrapping"/>
        <w:t xml:space="preserve">    `uvm_object_utils(jitter_scenario)</w:t>
        <w:br w:type="textWrapping"/>
        <w:br w:type="textWrapping"/>
        <w:t xml:space="preserve">    longint base_time = 10000;</w:t>
        <w:br w:type="textWrapping"/>
        <w:br w:type="textWrapping"/>
        <w:t xml:space="preserve">    // 80% chance of chronological arrival, 20% chance of severe packet latency</w:t>
        <w:br w:type="textWrapping"/>
        <w:t xml:space="preserve">    constraint c_network_jitter {</w:t>
        <w:br w:type="textWrapping"/>
        <w:t xml:space="preserve">        timestamp dist {</w:t>
        <w:br w:type="textWrapping"/>
        <w:t xml:space="preserve">            [base_time : base_time + 100]       :/ 80,</w:t>
        <w:br w:type="textWrapping"/>
        <w:t xml:space="preserve">            [base_time - 500 : base_time - 1]   :/ 20 </w:t>
        <w:br w:type="textWrapping"/>
        <w:t xml:space="preserve">        };</w:t>
        <w:br w:type="textWrapping"/>
        <w:t xml:space="preserve">    }</w:t>
        <w:br w:type="textWrapping"/>
        <w:t xml:space="preserve">endclass</w:t>
        <w:br w:type="textWrapping"/>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3: Extreme Mathematical Saturation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test the fixed-point DSP boundaries, the Q16.16 variance clamping, and the QRD-MGS inverter stability, the simulated sensor payload is intentionally pushed to its maximum and minimum dynamic ranges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ensures that covariance updates do not overflow and cause filter divergence.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 saturation_scenario extends sensor_frame_item;</w:t>
        <w:br w:type="textWrapping"/>
        <w:t xml:space="preserve">    `uvm_object_utils(saturation_scenario)</w:t>
        <w:br w:type="textWrapping"/>
        <w:br w:type="textWrapping"/>
        <w:t xml:space="preserve">    // Push the 16-bit payload values to extreme boundaries</w:t>
        <w:br w:type="textWrapping"/>
        <w:t xml:space="preserve">    constraint c_boundary_payloads {</w:t>
        <w:br w:type="textWrapping"/>
        <w:t xml:space="preserve">        payload_x inside {-32768, -32767, 32766, 32767};</w:t>
        <w:br w:type="textWrapping"/>
        <w:t xml:space="preserve">        payload_y inside {-32768, -32767, 32766, 32767};</w:t>
        <w:br w:type="textWrapping"/>
        <w:t xml:space="preserve">    }</w:t>
        <w:br w:type="textWrapping"/>
        <w:t xml:space="preserve">    </w:t>
        <w:br w:type="textWrapping"/>
        <w:t xml:space="preserve">    // Ensure architectural ECC faults are disabled to isolate mathematical testing</w:t>
        <w:br w:type="textWrapping"/>
        <w:t xml:space="preserve">    constraint c_clean_ecc {</w:t>
        <w:br w:type="textWrapping"/>
        <w:t xml:space="preserve">        inject_single_bit_err == 0;</w:t>
        <w:br w:type="textWrapping"/>
        <w:t xml:space="preserve">        inject_double_bit_err == 0;</w:t>
        <w:br w:type="textWrapping"/>
        <w:t xml:space="preserve">    }</w:t>
        <w:br w:type="textWrapping"/>
        <w:t xml:space="preserve">endclass</w:t>
        <w:br w:type="textWrapping"/>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4: ECC SECDED Diagnostic Coverage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ASIL-D target mandates empirical proof that the hardware safety mechanisms successfully intercept and manage internal faults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scenario overrides the standard ECC parity generation to inject deliberate structural faults into the data path.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class ecc_fault_scenario extends sensor_frame_item;</w:t>
        <w:br w:type="textWrapping"/>
        <w:t xml:space="preserve">    `uvm_object_utils(ecc_fault_scenario)</w:t>
        <w:br w:type="textWrapping"/>
        <w:br w:type="textWrapping"/>
        <w:t xml:space="preserve">    // Distribute faults: 70% single-bit (correctable), 30% double-bit (fatal)</w:t>
        <w:br w:type="textWrapping"/>
        <w:t xml:space="preserve">    constraint c_force_faults {</w:t>
        <w:br w:type="textWrapping"/>
        <w:t xml:space="preserve">        inject_single_bit_err dist { 1 := 70, 0 := 30 };</w:t>
        <w:br w:type="textWrapping"/>
        <w:t xml:space="preserve">        inject_double_bit_err dist { 0 := 70, 1 := 30 };</w:t>
        <w:br w:type="textWrapping"/>
        <w:t xml:space="preserve">    }</w:t>
        <w:br w:type="textWrapping"/>
        <w:t xml:space="preserve">endclass</w:t>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Step-by-Step Phased Implementation Roadmap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that the sensor fusion coprocessor is mathematically accurate, structurally fault-tolerant, and completely bug-free prior to tape-out or FPGA bitstream generation, the implementation follows a rigid 4-milestone roadmap. This phased approach utilizes the open-source Verilator and Cocotb toolchains to iteratively close the design loop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1: Base RTL Scaffolding and Interface Linting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focuses on establishing the physical hierarchy, connectivity, and syntactic validity of the SystemVerilog code.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The RTL is compiled using Verilator with strict linting arguments enabled (verilator --lint-only -Wall -sv). This process intercepts non-synthesizable constructs, unintentional latches, and bit-width mismatches early in the development cycle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lightweight Cocotb testbench is deployed to drive clock generation and reset sequencing.</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Check:</w:t>
      </w:r>
      <w:r w:rsidDel="00000000" w:rsidR="00000000" w:rsidRPr="00000000">
        <w:rPr>
          <w:rFonts w:ascii="Google Sans" w:cs="Google Sans" w:eastAsia="Google Sans" w:hAnsi="Google Sans"/>
          <w:color w:val="1f1f1f"/>
          <w:rtl w:val="0"/>
        </w:rPr>
        <w:t xml:space="preserve"> Cocotb coroutines utilize the RisingEdge(dut.clk) trigger to drive transactions onto the AXI4-Stream bus. The test focuses exclusively on protocol compliance, randomly de-asserting the tready signal to verify that the DMA ingestion buffers implement backpressure correctly without dropping tdata payloads.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Exit Criteria:</w:t>
      </w:r>
      <w:r w:rsidDel="00000000" w:rsidR="00000000" w:rsidRPr="00000000">
        <w:rPr>
          <w:rFonts w:ascii="Google Sans" w:cs="Google Sans" w:eastAsia="Google Sans" w:hAnsi="Google Sans"/>
          <w:color w:val="1f1f1f"/>
          <w:rtl w:val="0"/>
        </w:rPr>
        <w:t xml:space="preserve"> 100% interface toggle coverage and zero Verilator linting warnings.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2: Core Logic Math and Matrix Inversion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phase validates the dense mathematical fidelity of the EKF Engine and the QRD-MGS Matrix Inverter.</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Because standard Verilator is optimized for cycle-based logic without intra-cycle delay tracking, it must be compiled with the --timing flag to enable accurate evaluation of delayed assignments and complex combinatorial paths intrinsic to deep DSP pipelines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bit-accurate Python golden reference model is constructed using NumPy, incorporating the exact truncation and rounding mechanisms of the RTL's Q16.16 arithmetic.</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Check:</w:t>
      </w:r>
      <w:r w:rsidDel="00000000" w:rsidR="00000000" w:rsidRPr="00000000">
        <w:rPr>
          <w:rFonts w:ascii="Google Sans" w:cs="Google Sans" w:eastAsia="Google Sans" w:hAnsi="Google Sans"/>
          <w:color w:val="1f1f1f"/>
          <w:rtl w:val="0"/>
        </w:rPr>
        <w:t xml:space="preserve"> The Cocotb testbench feeds randomized sensor frames concurrently to the RTL and the Python reference model. To avoid sampling race conditions, the testbench utilizes Cocotb's ReadOnly() trigger, which ensures that all delta-cycle values have completely settled before the state vector </w:t>
      </w:r>
      <w:r w:rsidDel="00000000" w:rsidR="00000000" w:rsidRPr="00000000">
        <w:rPr>
          <w:rFonts w:ascii="Google Sans" w:cs="Google Sans" w:eastAsia="Google Sans" w:hAnsi="Google Sans"/>
          <w:color w:val="1f1f1f"/>
        </w:rPr>
        <w:drawing>
          <wp:inline distB="19050" distT="19050" distL="19050" distR="19050">
            <wp:extent cx="311348" cy="243004"/>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11348" cy="2430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read and compared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Exit Criteria:</w:t>
      </w:r>
      <w:r w:rsidDel="00000000" w:rsidR="00000000" w:rsidRPr="00000000">
        <w:rPr>
          <w:rFonts w:ascii="Google Sans" w:cs="Google Sans" w:eastAsia="Google Sans" w:hAnsi="Google Sans"/>
          <w:color w:val="1f1f1f"/>
          <w:rtl w:val="0"/>
        </w:rPr>
        <w:t xml:space="preserve"> Zero epsilon divergence between the RTL state estimates and the Python reference model under continuous, high-volume mathematical saturation scenarios.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3: ASIL-D Safety and SECDED Hookup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phase shifts the focus from algorithmic accuracy to structural resilience, validating the Safety Island and hardware diagnostic mechanisms.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The SECDED Hsiao encoders/decoders and lockstep monitors are integrated into the pipeline. The simulation is compiled with Verilator's coverage tracking enabled (EXTRA_ARGS += --coverage), allowing the generation of a comprehensive coverage.dat file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Check:</w:t>
      </w:r>
      <w:r w:rsidDel="00000000" w:rsidR="00000000" w:rsidRPr="00000000">
        <w:rPr>
          <w:rFonts w:ascii="Google Sans" w:cs="Google Sans" w:eastAsia="Google Sans" w:hAnsi="Google Sans"/>
          <w:color w:val="1f1f1f"/>
          <w:rtl w:val="0"/>
        </w:rPr>
        <w:t xml:space="preserve"> The ecc_fault_scenario is executed in high volumes. Cocotb assertions verify that when single-bit errors are injected, the data path corrects the error invisibly while incrementing APB telemetry registers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when double-bit errors are injected, the testbench verifies that the primary coprocessor data path halts, and the Safety Island asserts a fatal hardware interrupt within the specified clock-cycle limit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Exit Criteria:</w:t>
      </w:r>
      <w:r w:rsidDel="00000000" w:rsidR="00000000" w:rsidRPr="00000000">
        <w:rPr>
          <w:rFonts w:ascii="Google Sans" w:cs="Google Sans" w:eastAsia="Google Sans" w:hAnsi="Google Sans"/>
          <w:color w:val="1f1f1f"/>
          <w:rtl w:val="0"/>
        </w:rPr>
        <w:t xml:space="preserve"> Empirical demonstration of </w:t>
      </w:r>
      <w:r w:rsidDel="00000000" w:rsidR="00000000" w:rsidRPr="00000000">
        <w:rPr>
          <w:rFonts w:ascii="Google Sans" w:cs="Google Sans" w:eastAsia="Google Sans" w:hAnsi="Google Sans"/>
          <w:color w:val="1f1f1f"/>
        </w:rPr>
        <w:drawing>
          <wp:inline distB="19050" distT="19050" distL="19050" distR="19050">
            <wp:extent cx="565904" cy="240315"/>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65904" cy="24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Single-Point Fault detection and </w:t>
      </w:r>
      <w:r w:rsidDel="00000000" w:rsidR="00000000" w:rsidRPr="00000000">
        <w:rPr>
          <w:rFonts w:ascii="Google Sans" w:cs="Google Sans" w:eastAsia="Google Sans" w:hAnsi="Google Sans"/>
          <w:color w:val="1f1f1f"/>
        </w:rPr>
        <w:drawing>
          <wp:inline distB="19050" distT="19050" distL="19050" distR="19050">
            <wp:extent cx="565904" cy="240315"/>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65904" cy="24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Latent Fault detection via fault injection campaigns, satisfying the quantitative ISO 26262 ASIL-D mandates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4: UVM/OOP Testbench and Coverage Closure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unifies the disparate Cocotb sequences into a highly automated, full-scale PyUVM verification environment.</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The UVM topology is fully realized, utilizing ConfigDB() to link the Verilator DUT interfaces into the uvm_agent architecture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verification team implements extensive functional coverage models using the @vsc.covergroup and @vsc.coverpoint decorators from PyVSC. These covergroups automatically bin the sensor_id inputs, track the crossing of boundary payloads with extreme jitter events, and monitor the activation of variance clamping logic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Verification Check:</w:t>
      </w:r>
      <w:r w:rsidDel="00000000" w:rsidR="00000000" w:rsidRPr="00000000">
        <w:rPr>
          <w:rFonts w:ascii="Google Sans" w:cs="Google Sans" w:eastAsia="Google Sans" w:hAnsi="Google Sans"/>
          <w:color w:val="1f1f1f"/>
          <w:rtl w:val="0"/>
        </w:rPr>
        <w:t xml:space="preserve"> Massive parallel regressions are launched using continuous integration (CI) pipelines. To guarantee state-space exploration, independent Python RandState.mkFromSeed values are distributed across hundreds of test runner instances, systematically hunting for unverified corner cases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Exit Criteria:</w:t>
      </w:r>
      <w:r w:rsidDel="00000000" w:rsidR="00000000" w:rsidRPr="00000000">
        <w:rPr>
          <w:rFonts w:ascii="Google Sans" w:cs="Google Sans" w:eastAsia="Google Sans" w:hAnsi="Google Sans"/>
          <w:color w:val="1f1f1f"/>
          <w:rtl w:val="0"/>
        </w:rPr>
        <w:t xml:space="preserve"> 100% Functional Coverage closure on the PyVSC models, 100% Statement/Branch coverage reported by Verilator, and zero PyUVM scoreboard mismatches, rendering the coprocessor fully certified for physical synthesis.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 Fusion in Autonomous Vehicles: The Role of Embedded Systems - Tessolve, </w:t>
      </w:r>
      <w:hyperlink r:id="rId33">
        <w:r w:rsidDel="00000000" w:rsidR="00000000" w:rsidRPr="00000000">
          <w:rPr>
            <w:rFonts w:ascii="Google Sans" w:cs="Google Sans" w:eastAsia="Google Sans" w:hAnsi="Google Sans"/>
            <w:color w:val="0000ee"/>
            <w:sz w:val="24"/>
            <w:szCs w:val="24"/>
            <w:u w:val="single"/>
            <w:rtl w:val="0"/>
          </w:rPr>
          <w:t xml:space="preserve">https://embedded.tessolve.com/blogs/sensor-fusion-in-autonomous-vehicles-the-role-of-embedded-systems/</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Sensor Fusion? - Aptiv, </w:t>
      </w:r>
      <w:hyperlink r:id="rId34">
        <w:r w:rsidDel="00000000" w:rsidR="00000000" w:rsidRPr="00000000">
          <w:rPr>
            <w:rFonts w:ascii="Google Sans" w:cs="Google Sans" w:eastAsia="Google Sans" w:hAnsi="Google Sans"/>
            <w:color w:val="0000ee"/>
            <w:sz w:val="24"/>
            <w:szCs w:val="24"/>
            <w:u w:val="single"/>
            <w:rtl w:val="0"/>
          </w:rPr>
          <w:t xml:space="preserve">https://www.aptiv.com/en/insights/article/what-is-sensor-fusion</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Centralised and Decentralised Sensor Fusion-Based Emergency Brake Assist - PMC - NIH,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https://pmc.ncbi.nlm.nih.gov/articles/PMC8400951/</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Novel Sensor Fusion Architectures for Autonomous Vehicles - MATLAB EXPO, </w:t>
      </w:r>
      <w:hyperlink r:id="rId36">
        <w:r w:rsidDel="00000000" w:rsidR="00000000" w:rsidRPr="00000000">
          <w:rPr>
            <w:rFonts w:ascii="Google Sans" w:cs="Google Sans" w:eastAsia="Google Sans" w:hAnsi="Google Sans"/>
            <w:color w:val="0000ee"/>
            <w:sz w:val="24"/>
            <w:szCs w:val="24"/>
            <w:u w:val="single"/>
            <w:rtl w:val="0"/>
          </w:rPr>
          <w:t xml:space="preserve">https://www.matlabexpo.com/content/dam/mathworks/mathworks-dot-com/images/responsive/supporting/events/matlab-expo-2021/proceedings/matlab-expo-2021-development-of-novel-sensor-fusion-architectures-for-autonomous-vehicles-edt.pdf</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US20220080992A1 - Method of using a single controller (ecu) for a fault-tolerant/fail-operational self-driving system - Google Patents, </w:t>
      </w:r>
      <w:hyperlink r:id="rId37">
        <w:r w:rsidDel="00000000" w:rsidR="00000000" w:rsidRPr="00000000">
          <w:rPr>
            <w:rFonts w:ascii="Google Sans" w:cs="Google Sans" w:eastAsia="Google Sans" w:hAnsi="Google Sans"/>
            <w:color w:val="0000ee"/>
            <w:sz w:val="24"/>
            <w:szCs w:val="24"/>
            <w:u w:val="single"/>
            <w:rtl w:val="0"/>
          </w:rPr>
          <w:t xml:space="preserve">https://patents.google.com/patent/US20220080992A1</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ASIL? A Guide to Automotive Safety Integrity Levels in ISO 26262 - Jama Software, </w:t>
      </w:r>
      <w:hyperlink r:id="rId38">
        <w:r w:rsidDel="00000000" w:rsidR="00000000" w:rsidRPr="00000000">
          <w:rPr>
            <w:rFonts w:ascii="Google Sans" w:cs="Google Sans" w:eastAsia="Google Sans" w:hAnsi="Google Sans"/>
            <w:color w:val="0000ee"/>
            <w:sz w:val="24"/>
            <w:szCs w:val="24"/>
            <w:u w:val="single"/>
            <w:rtl w:val="0"/>
          </w:rPr>
          <w:t xml:space="preserve">https://www.jamasoftware.com/requirements-management-guide/automotive-engineering/asil/</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Safety Integrity Level - Wikipedia, </w:t>
      </w:r>
      <w:hyperlink r:id="rId39">
        <w:r w:rsidDel="00000000" w:rsidR="00000000" w:rsidRPr="00000000">
          <w:rPr>
            <w:rFonts w:ascii="Google Sans" w:cs="Google Sans" w:eastAsia="Google Sans" w:hAnsi="Google Sans"/>
            <w:color w:val="0000ee"/>
            <w:sz w:val="24"/>
            <w:szCs w:val="24"/>
            <w:u w:val="single"/>
            <w:rtl w:val="0"/>
          </w:rPr>
          <w:t xml:space="preserve">https://en.wikipedia.org/wiki/Automotive_Safety_Integrity_Level</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Design Architecture For Sensor Data Fusion Systems With Application To Automotive Safety - Chalmers Publication Library, </w:t>
      </w:r>
      <w:hyperlink r:id="rId40">
        <w:r w:rsidDel="00000000" w:rsidR="00000000" w:rsidRPr="00000000">
          <w:rPr>
            <w:rFonts w:ascii="Google Sans" w:cs="Google Sans" w:eastAsia="Google Sans" w:hAnsi="Google Sans"/>
            <w:color w:val="0000ee"/>
            <w:sz w:val="24"/>
            <w:szCs w:val="24"/>
            <w:u w:val="single"/>
            <w:rtl w:val="0"/>
          </w:rPr>
          <w:t xml:space="preserve">https://publications.lib.chalmers.se/records/fulltext/155318/local_155318.pdf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point implementation of Kalman filtering for AC drives: a case study using TMS320F24x DSP - Mikrocontroller.net, </w:t>
      </w:r>
      <w:hyperlink r:id="rId41">
        <w:r w:rsidDel="00000000" w:rsidR="00000000" w:rsidRPr="00000000">
          <w:rPr>
            <w:rFonts w:ascii="Google Sans" w:cs="Google Sans" w:eastAsia="Google Sans" w:hAnsi="Google Sans"/>
            <w:color w:val="0000ee"/>
            <w:sz w:val="24"/>
            <w:szCs w:val="24"/>
            <w:u w:val="single"/>
            <w:rtl w:val="0"/>
          </w:rPr>
          <w:t xml:space="preserve">https://www.mikrocontroller.net/attachment/23449/EKF.pdf</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 - Wikipedia, </w:t>
      </w:r>
      <w:hyperlink r:id="rId42">
        <w:r w:rsidDel="00000000" w:rsidR="00000000" w:rsidRPr="00000000">
          <w:rPr>
            <w:rFonts w:ascii="Google Sans" w:cs="Google Sans" w:eastAsia="Google Sans" w:hAnsi="Google Sans"/>
            <w:color w:val="0000ee"/>
            <w:sz w:val="24"/>
            <w:szCs w:val="24"/>
            <w:u w:val="single"/>
            <w:rtl w:val="0"/>
          </w:rPr>
          <w:t xml:space="preserve">https://en.wikipedia.org/wiki/Kalman_filter</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Fixed-Point Kalman Filter on PYNQ-Z2 FPGA - | International Journal of Innovative Science and Research Technology, </w:t>
      </w:r>
      <w:hyperlink r:id="rId43">
        <w:r w:rsidDel="00000000" w:rsidR="00000000" w:rsidRPr="00000000">
          <w:rPr>
            <w:rFonts w:ascii="Google Sans" w:cs="Google Sans" w:eastAsia="Google Sans" w:hAnsi="Google Sans"/>
            <w:color w:val="0000ee"/>
            <w:sz w:val="24"/>
            <w:szCs w:val="24"/>
            <w:u w:val="single"/>
            <w:rtl w:val="0"/>
          </w:rPr>
          <w:t xml:space="preserve">https://ijisrt.com/assets/upload/files/IJISRT25NOV569.pdf</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sunsided/libfixkalman: Kalman filter fixed-point implementation based on libfixmatrix, targeted at embedded systems without an FPU and/or need for performance. - GitHub, </w:t>
      </w:r>
      <w:hyperlink r:id="rId44">
        <w:r w:rsidDel="00000000" w:rsidR="00000000" w:rsidRPr="00000000">
          <w:rPr>
            <w:rFonts w:ascii="Google Sans" w:cs="Google Sans" w:eastAsia="Google Sans" w:hAnsi="Google Sans"/>
            <w:color w:val="0000ee"/>
            <w:sz w:val="24"/>
            <w:szCs w:val="24"/>
            <w:u w:val="single"/>
            <w:rtl w:val="0"/>
          </w:rPr>
          <w:t xml:space="preserve">https://github.com/sunsided/libfixkalman</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Inversion in Hardware : Method and RTL-design - Diva-Portal.org, </w:t>
      </w:r>
      <w:hyperlink r:id="rId45">
        <w:r w:rsidDel="00000000" w:rsidR="00000000" w:rsidRPr="00000000">
          <w:rPr>
            <w:rFonts w:ascii="Google Sans" w:cs="Google Sans" w:eastAsia="Google Sans" w:hAnsi="Google Sans"/>
            <w:color w:val="0000ee"/>
            <w:sz w:val="24"/>
            <w:szCs w:val="24"/>
            <w:u w:val="single"/>
            <w:rtl w:val="0"/>
          </w:rPr>
          <w:t xml:space="preserve">http://www.diva-portal.org/smash/record.jsf?pid=diva2:2057404</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FPGA-Based Hardware Matrix Inversion Architecture Using Hybrid Piecewise Polynomial Approximation Systolic Cells - MDPI, </w:t>
      </w:r>
      <w:hyperlink r:id="rId46">
        <w:r w:rsidDel="00000000" w:rsidR="00000000" w:rsidRPr="00000000">
          <w:rPr>
            <w:rFonts w:ascii="Google Sans" w:cs="Google Sans" w:eastAsia="Google Sans" w:hAnsi="Google Sans"/>
            <w:color w:val="0000ee"/>
            <w:sz w:val="24"/>
            <w:szCs w:val="24"/>
            <w:u w:val="single"/>
            <w:rtl w:val="0"/>
          </w:rPr>
          <w:t xml:space="preserve">https://www.mdpi.com/2079-9292/9/1/182</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Matrix Inversion in Hardware: Method and RTL-design - kth .diva, </w:t>
      </w:r>
      <w:hyperlink r:id="rId47">
        <w:r w:rsidDel="00000000" w:rsidR="00000000" w:rsidRPr="00000000">
          <w:rPr>
            <w:rFonts w:ascii="Google Sans" w:cs="Google Sans" w:eastAsia="Google Sans" w:hAnsi="Google Sans"/>
            <w:color w:val="0000ee"/>
            <w:sz w:val="24"/>
            <w:szCs w:val="24"/>
            <w:u w:val="single"/>
            <w:rtl w:val="0"/>
          </w:rPr>
          <w:t xml:space="preserve">https://kth.diva-portal.org/smash/get/diva2:2057404/FULLTEXT01.pdf</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ASIL-D Chiplet SoC for ADAS — PatSnap Eureka, </w:t>
      </w:r>
      <w:hyperlink r:id="rId48">
        <w:r w:rsidDel="00000000" w:rsidR="00000000" w:rsidRPr="00000000">
          <w:rPr>
            <w:rFonts w:ascii="Google Sans" w:cs="Google Sans" w:eastAsia="Google Sans" w:hAnsi="Google Sans"/>
            <w:color w:val="0000ee"/>
            <w:sz w:val="24"/>
            <w:szCs w:val="24"/>
            <w:u w:val="single"/>
            <w:rtl w:val="0"/>
          </w:rPr>
          <w:t xml:space="preserve">https://www.patsnap.com/resources/blog/rd-blog/asil-d-chiplet-soc-for-adas-patsnap-eureka/</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Automotive Sensor Fusion &amp; Data Handling | Synopsys Blog, </w:t>
      </w:r>
      <w:hyperlink r:id="rId49">
        <w:r w:rsidDel="00000000" w:rsidR="00000000" w:rsidRPr="00000000">
          <w:rPr>
            <w:rFonts w:ascii="Google Sans" w:cs="Google Sans" w:eastAsia="Google Sans" w:hAnsi="Google Sans"/>
            <w:color w:val="0000ee"/>
            <w:sz w:val="24"/>
            <w:szCs w:val="24"/>
            <w:u w:val="single"/>
            <w:rtl w:val="0"/>
          </w:rPr>
          <w:t xml:space="preserve">https://www.synopsys.com/blogs/chip-design/future-of-auto-sensor-fusion-data-handling.html</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Error-Correcting Codes for Semiconductor Memory Applications: A State-of-the-Art Review - Meulie, </w:t>
      </w:r>
      <w:hyperlink r:id="rId50">
        <w:r w:rsidDel="00000000" w:rsidR="00000000" w:rsidRPr="00000000">
          <w:rPr>
            <w:rFonts w:ascii="Google Sans" w:cs="Google Sans" w:eastAsia="Google Sans" w:hAnsi="Google Sans"/>
            <w:color w:val="0000ee"/>
            <w:sz w:val="24"/>
            <w:szCs w:val="24"/>
            <w:u w:val="single"/>
            <w:rtl w:val="0"/>
          </w:rPr>
          <w:t xml:space="preserve">https://mirrors.meulie.net/bitsavers.org/pdf/ibm/IBM_Journal_of_Research_and_Development/282/chen.pdf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US7117420B1 - Construction of an optimized SEC-DED code and logic for soft errors in semiconductor memories - Google Patents, </w:t>
      </w:r>
      <w:hyperlink r:id="rId51">
        <w:r w:rsidDel="00000000" w:rsidR="00000000" w:rsidRPr="00000000">
          <w:rPr>
            <w:rFonts w:ascii="Google Sans" w:cs="Google Sans" w:eastAsia="Google Sans" w:hAnsi="Google Sans"/>
            <w:color w:val="0000ee"/>
            <w:sz w:val="24"/>
            <w:szCs w:val="24"/>
            <w:u w:val="single"/>
            <w:rtl w:val="0"/>
          </w:rPr>
          <w:t xml:space="preserve">https://patents.google.com/patent/US7117420B1/en</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ECC SECDED Codes: Design &amp; Applications - Emergent Mind, </w:t>
      </w:r>
      <w:hyperlink r:id="rId52">
        <w:r w:rsidDel="00000000" w:rsidR="00000000" w:rsidRPr="00000000">
          <w:rPr>
            <w:rFonts w:ascii="Google Sans" w:cs="Google Sans" w:eastAsia="Google Sans" w:hAnsi="Google Sans"/>
            <w:color w:val="0000ee"/>
            <w:sz w:val="24"/>
            <w:szCs w:val="24"/>
            <w:u w:val="single"/>
            <w:rtl w:val="0"/>
          </w:rPr>
          <w:t xml:space="preserve">https://www.emergentmind.com/topics/ecc-secded</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Correction Code (ECC) in DDR Memories | Synopsys IP, </w:t>
      </w:r>
      <w:hyperlink r:id="rId53">
        <w:r w:rsidDel="00000000" w:rsidR="00000000" w:rsidRPr="00000000">
          <w:rPr>
            <w:rFonts w:ascii="Google Sans" w:cs="Google Sans" w:eastAsia="Google Sans" w:hAnsi="Google Sans"/>
            <w:color w:val="0000ee"/>
            <w:sz w:val="24"/>
            <w:szCs w:val="24"/>
            <w:u w:val="single"/>
            <w:rtl w:val="0"/>
          </w:rPr>
          <w:t xml:space="preserve">https://www.synopsys.com/articles/ecc-memory-error-correction.html</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Hamming-ECC/rtl/verilog/ecc_dec.sv at master - GitHub, </w:t>
      </w:r>
      <w:hyperlink r:id="rId54">
        <w:r w:rsidDel="00000000" w:rsidR="00000000" w:rsidRPr="00000000">
          <w:rPr>
            <w:rFonts w:ascii="Google Sans" w:cs="Google Sans" w:eastAsia="Google Sans" w:hAnsi="Google Sans"/>
            <w:color w:val="0000ee"/>
            <w:sz w:val="24"/>
            <w:szCs w:val="24"/>
            <w:u w:val="single"/>
            <w:rtl w:val="0"/>
          </w:rPr>
          <w:t xml:space="preserve">https://github.com/RoaLogic/Hamming-ECC/blob/master/rtl/verilog/ecc_dec.sv</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Verilator Documentation - Veripool, </w:t>
      </w:r>
      <w:hyperlink r:id="rId55">
        <w:r w:rsidDel="00000000" w:rsidR="00000000" w:rsidRPr="00000000">
          <w:rPr>
            <w:rFonts w:ascii="Google Sans" w:cs="Google Sans" w:eastAsia="Google Sans" w:hAnsi="Google Sans"/>
            <w:color w:val="0000ee"/>
            <w:sz w:val="24"/>
            <w:szCs w:val="24"/>
            <w:u w:val="single"/>
            <w:rtl w:val="0"/>
          </w:rPr>
          <w:t xml:space="preserve">https://veripool.org/verilator/documentation/</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Input Languages — Verilator Devel 5.049 documentation, </w:t>
      </w:r>
      <w:hyperlink r:id="rId56">
        <w:r w:rsidDel="00000000" w:rsidR="00000000" w:rsidRPr="00000000">
          <w:rPr>
            <w:rFonts w:ascii="Google Sans" w:cs="Google Sans" w:eastAsia="Google Sans" w:hAnsi="Google Sans"/>
            <w:color w:val="0000ee"/>
            <w:sz w:val="24"/>
            <w:szCs w:val="24"/>
            <w:u w:val="single"/>
            <w:rtl w:val="0"/>
          </w:rPr>
          <w:t xml:space="preserve">https://verilator.org/guide/latest/languages.html</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cocotb | Python verification framework, </w:t>
      </w:r>
      <w:hyperlink r:id="rId57">
        <w:r w:rsidDel="00000000" w:rsidR="00000000" w:rsidRPr="00000000">
          <w:rPr>
            <w:rFonts w:ascii="Google Sans" w:cs="Google Sans" w:eastAsia="Google Sans" w:hAnsi="Google Sans"/>
            <w:color w:val="0000ee"/>
            <w:sz w:val="24"/>
            <w:szCs w:val="24"/>
            <w:u w:val="single"/>
            <w:rtl w:val="0"/>
          </w:rPr>
          <w:t xml:space="preserve">https://www.cocotb.org/</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Simulator Support — cocotb 2.1.dev49+r869c4592 documentation, </w:t>
      </w:r>
      <w:hyperlink r:id="rId58">
        <w:r w:rsidDel="00000000" w:rsidR="00000000" w:rsidRPr="00000000">
          <w:rPr>
            <w:rFonts w:ascii="Google Sans" w:cs="Google Sans" w:eastAsia="Google Sans" w:hAnsi="Google Sans"/>
            <w:color w:val="0000ee"/>
            <w:sz w:val="24"/>
            <w:szCs w:val="24"/>
            <w:u w:val="single"/>
            <w:rtl w:val="0"/>
          </w:rPr>
          <w:t xml:space="preserve">https://docs.cocotb.org/en/latest/simulator_support.html</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pyuvm/pyuvm: The UVM written in Python - GitHub, </w:t>
      </w:r>
      <w:hyperlink r:id="rId59">
        <w:r w:rsidDel="00000000" w:rsidR="00000000" w:rsidRPr="00000000">
          <w:rPr>
            <w:rFonts w:ascii="Google Sans" w:cs="Google Sans" w:eastAsia="Google Sans" w:hAnsi="Google Sans"/>
            <w:color w:val="0000ee"/>
            <w:sz w:val="24"/>
            <w:szCs w:val="24"/>
            <w:u w:val="single"/>
            <w:rtl w:val="0"/>
          </w:rPr>
          <w:t xml:space="preserve">https://github.com/pyuvm/pyuvm</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implementation of a Python-based verification environment using PyUVM and cocotb - SyoSil ApS, </w:t>
      </w:r>
      <w:hyperlink r:id="rId60">
        <w:r w:rsidDel="00000000" w:rsidR="00000000" w:rsidRPr="00000000">
          <w:rPr>
            <w:rFonts w:ascii="Google Sans" w:cs="Google Sans" w:eastAsia="Google Sans" w:hAnsi="Google Sans"/>
            <w:color w:val="0000ee"/>
            <w:sz w:val="24"/>
            <w:szCs w:val="24"/>
            <w:u w:val="single"/>
            <w:rtl w:val="0"/>
          </w:rPr>
          <w:t xml:space="preserve">https://www.syosil.com/images/resources/osv_whitepaper-1.0.3.0.pdf</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pyvsc/doc/source/introduction.rst at master - GitHub, </w:t>
      </w:r>
      <w:hyperlink r:id="rId61">
        <w:r w:rsidDel="00000000" w:rsidR="00000000" w:rsidRPr="00000000">
          <w:rPr>
            <w:rFonts w:ascii="Google Sans" w:cs="Google Sans" w:eastAsia="Google Sans" w:hAnsi="Google Sans"/>
            <w:color w:val="0000ee"/>
            <w:sz w:val="24"/>
            <w:szCs w:val="24"/>
            <w:u w:val="single"/>
            <w:rtl w:val="0"/>
          </w:rPr>
          <w:t xml:space="preserve">https://github.com/fvutils/pyvsc/blob/master/doc/source/introduction.rst</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Efficient Design Verification – Constrained Random Verification using PyUVM - arXiv, </w:t>
      </w:r>
      <w:hyperlink r:id="rId62">
        <w:r w:rsidDel="00000000" w:rsidR="00000000" w:rsidRPr="00000000">
          <w:rPr>
            <w:rFonts w:ascii="Google Sans" w:cs="Google Sans" w:eastAsia="Google Sans" w:hAnsi="Google Sans"/>
            <w:color w:val="0000ee"/>
            <w:sz w:val="24"/>
            <w:szCs w:val="24"/>
            <w:u w:val="single"/>
            <w:rtl w:val="0"/>
          </w:rPr>
          <w:t xml:space="preserve">https://arxiv.org/html/2407.10317v1</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and the UVM - Verification Horizons - Siemens Digital Industries Software Blogs, </w:t>
      </w:r>
      <w:hyperlink r:id="rId63">
        <w:r w:rsidDel="00000000" w:rsidR="00000000" w:rsidRPr="00000000">
          <w:rPr>
            <w:rFonts w:ascii="Google Sans" w:cs="Google Sans" w:eastAsia="Google Sans" w:hAnsi="Google Sans"/>
            <w:color w:val="0000ee"/>
            <w:sz w:val="24"/>
            <w:szCs w:val="24"/>
            <w:u w:val="single"/>
            <w:rtl w:val="0"/>
          </w:rPr>
          <w:t xml:space="preserve">https://blogs.sw.siemens.com/verificationhorizons/2021/09/09/python-and-the-uvm/</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PyVSC Constraints — pyvsc 0.0.1 documentation, </w:t>
      </w:r>
      <w:hyperlink r:id="rId64">
        <w:r w:rsidDel="00000000" w:rsidR="00000000" w:rsidRPr="00000000">
          <w:rPr>
            <w:rFonts w:ascii="Google Sans" w:cs="Google Sans" w:eastAsia="Google Sans" w:hAnsi="Google Sans"/>
            <w:color w:val="0000ee"/>
            <w:sz w:val="24"/>
            <w:szCs w:val="24"/>
            <w:u w:val="single"/>
            <w:rtl w:val="0"/>
          </w:rPr>
          <w:t xml:space="preserve">https://pyvsc.readthedocs.io/en/latest/constraints.html</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PyVSC: SystemVerilog-Style Constraints, and Coverage in Python - woset-workshop, </w:t>
      </w:r>
      <w:hyperlink r:id="rId65">
        <w:r w:rsidDel="00000000" w:rsidR="00000000" w:rsidRPr="00000000">
          <w:rPr>
            <w:rFonts w:ascii="Google Sans" w:cs="Google Sans" w:eastAsia="Google Sans" w:hAnsi="Google Sans"/>
            <w:color w:val="0000ee"/>
            <w:sz w:val="24"/>
            <w:szCs w:val="24"/>
            <w:u w:val="single"/>
            <w:rtl w:val="0"/>
          </w:rPr>
          <w:t xml:space="preserve">https://woset-workshop.github.io/PDFs/2020/a15.pdf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ISO 26262 Compliance with Accelerated Diagnostic Coverage Assessment - MDPI, </w:t>
      </w:r>
      <w:hyperlink r:id="rId66">
        <w:r w:rsidDel="00000000" w:rsidR="00000000" w:rsidRPr="00000000">
          <w:rPr>
            <w:rFonts w:ascii="Google Sans" w:cs="Google Sans" w:eastAsia="Google Sans" w:hAnsi="Google Sans"/>
            <w:color w:val="0000ee"/>
            <w:sz w:val="24"/>
            <w:szCs w:val="24"/>
            <w:u w:val="single"/>
            <w:rtl w:val="0"/>
          </w:rPr>
          <w:t xml:space="preserve">https://www.mdpi.com/2079-9292/9/5/732</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Timing Model — cocotb 2.0.1 documentation, </w:t>
      </w:r>
      <w:hyperlink r:id="rId67">
        <w:r w:rsidDel="00000000" w:rsidR="00000000" w:rsidRPr="00000000">
          <w:rPr>
            <w:rFonts w:ascii="Google Sans" w:cs="Google Sans" w:eastAsia="Google Sans" w:hAnsi="Google Sans"/>
            <w:color w:val="0000ee"/>
            <w:sz w:val="24"/>
            <w:szCs w:val="24"/>
            <w:u w:val="single"/>
            <w:rtl w:val="0"/>
          </w:rPr>
          <w:t xml:space="preserve">https://docs.cocotb.org/en/stable/timing_model.html</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Simulator Support — cocotb 1.9.1 documentation, </w:t>
      </w:r>
      <w:hyperlink r:id="rId68">
        <w:r w:rsidDel="00000000" w:rsidR="00000000" w:rsidRPr="00000000">
          <w:rPr>
            <w:rFonts w:ascii="Google Sans" w:cs="Google Sans" w:eastAsia="Google Sans" w:hAnsi="Google Sans"/>
            <w:color w:val="0000ee"/>
            <w:sz w:val="24"/>
            <w:szCs w:val="24"/>
            <w:u w:val="single"/>
            <w:rtl w:val="0"/>
          </w:rPr>
          <w:t xml:space="preserve">https://docs.cocotb.org/en/v1.9.1/simulator_support.html</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cocotb 1.8 is out and makes your verification journey even more enjoyable, </w:t>
      </w:r>
      <w:hyperlink r:id="rId69">
        <w:r w:rsidDel="00000000" w:rsidR="00000000" w:rsidRPr="00000000">
          <w:rPr>
            <w:rFonts w:ascii="Google Sans" w:cs="Google Sans" w:eastAsia="Google Sans" w:hAnsi="Google Sans"/>
            <w:color w:val="0000ee"/>
            <w:sz w:val="24"/>
            <w:szCs w:val="24"/>
            <w:u w:val="single"/>
            <w:rtl w:val="0"/>
          </w:rPr>
          <w:t xml:space="preserve">https://www.cocotb.org/2023/06/15/v1.8.0.html</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understanding of cocotb's Timing Model (2) | by DatenLord - Medium, </w:t>
      </w:r>
      <w:hyperlink r:id="rId70">
        <w:r w:rsidDel="00000000" w:rsidR="00000000" w:rsidRPr="00000000">
          <w:rPr>
            <w:rFonts w:ascii="Google Sans" w:cs="Google Sans" w:eastAsia="Google Sans" w:hAnsi="Google Sans"/>
            <w:color w:val="0000ee"/>
            <w:sz w:val="24"/>
            <w:szCs w:val="24"/>
            <w:u w:val="single"/>
            <w:rtl w:val="0"/>
          </w:rPr>
          <w:t xml:space="preserve">https://medium.com/@datenlord/deep-understanding-of-cocotbs-timing-model-2-7363d0918eb8</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Simulator Support — cocotb 1.4.0 documentation, </w:t>
      </w:r>
      <w:hyperlink r:id="rId71">
        <w:r w:rsidDel="00000000" w:rsidR="00000000" w:rsidRPr="00000000">
          <w:rPr>
            <w:rFonts w:ascii="Google Sans" w:cs="Google Sans" w:eastAsia="Google Sans" w:hAnsi="Google Sans"/>
            <w:color w:val="0000ee"/>
            <w:sz w:val="24"/>
            <w:szCs w:val="24"/>
            <w:u w:val="single"/>
            <w:rtl w:val="0"/>
          </w:rPr>
          <w:t xml:space="preserve">https://docs.cocotb.org/en/v1.4.0/simulator_support.html</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ASIL (Automotive Safety Integrity Level)? – Overview - Synopsys, </w:t>
      </w:r>
      <w:hyperlink r:id="rId72">
        <w:r w:rsidDel="00000000" w:rsidR="00000000" w:rsidRPr="00000000">
          <w:rPr>
            <w:rFonts w:ascii="Google Sans" w:cs="Google Sans" w:eastAsia="Google Sans" w:hAnsi="Google Sans"/>
            <w:color w:val="0000ee"/>
            <w:sz w:val="24"/>
            <w:szCs w:val="24"/>
            <w:u w:val="single"/>
            <w:rtl w:val="0"/>
          </w:rPr>
          <w:t xml:space="preserve">https://www.synopsys.com/glossary/what-is-asil.html</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Random Stimulus and Functional Coverage in Python - · Bits, Bytes, and Gates, </w:t>
      </w:r>
      <w:hyperlink r:id="rId73">
        <w:r w:rsidDel="00000000" w:rsidR="00000000" w:rsidRPr="00000000">
          <w:rPr>
            <w:rFonts w:ascii="Google Sans" w:cs="Google Sans" w:eastAsia="Google Sans" w:hAnsi="Google Sans"/>
            <w:color w:val="0000ee"/>
            <w:sz w:val="24"/>
            <w:szCs w:val="24"/>
            <w:u w:val="single"/>
            <w:rtl w:val="0"/>
          </w:rPr>
          <w:t xml:space="preserve">https://bitsbytesgates.com/2020/03/27/modeling-random-stimulus-and-functional.html</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Randomization Methods - PyVSC Documentation - Read the Docs, </w:t>
      </w:r>
      <w:hyperlink r:id="rId74">
        <w:r w:rsidDel="00000000" w:rsidR="00000000" w:rsidRPr="00000000">
          <w:rPr>
            <w:rFonts w:ascii="Google Sans" w:cs="Google Sans" w:eastAsia="Google Sans" w:hAnsi="Google Sans"/>
            <w:color w:val="0000ee"/>
            <w:sz w:val="24"/>
            <w:szCs w:val="24"/>
            <w:u w:val="single"/>
            <w:rtl w:val="0"/>
          </w:rPr>
          <w:t xml:space="preserve">https://pyvsc.readthedocs.io/en/latest/methods.html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lications.lib.chalmers.se/records/fulltext/155318/local_155318.pdf" TargetMode="External"/><Relationship Id="rId42" Type="http://schemas.openxmlformats.org/officeDocument/2006/relationships/hyperlink" Target="https://en.wikipedia.org/wiki/Kalman_filter" TargetMode="External"/><Relationship Id="rId41" Type="http://schemas.openxmlformats.org/officeDocument/2006/relationships/hyperlink" Target="https://www.mikrocontroller.net/attachment/23449/EKF.pdf" TargetMode="External"/><Relationship Id="rId44" Type="http://schemas.openxmlformats.org/officeDocument/2006/relationships/hyperlink" Target="https://github.com/sunsided/libfixkalman" TargetMode="External"/><Relationship Id="rId43" Type="http://schemas.openxmlformats.org/officeDocument/2006/relationships/hyperlink" Target="https://ijisrt.com/assets/upload/files/IJISRT25NOV569.pdf" TargetMode="External"/><Relationship Id="rId46" Type="http://schemas.openxmlformats.org/officeDocument/2006/relationships/hyperlink" Target="https://www.mdpi.com/2079-9292/9/1/182" TargetMode="External"/><Relationship Id="rId45" Type="http://schemas.openxmlformats.org/officeDocument/2006/relationships/hyperlink" Target="http://www.diva-portal.org/smash/record.jsf?pid=diva2:20574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patsnap.com/resources/blog/rd-blog/asil-d-chiplet-soc-for-adas-patsnap-eureka/" TargetMode="External"/><Relationship Id="rId47" Type="http://schemas.openxmlformats.org/officeDocument/2006/relationships/hyperlink" Target="https://kth.diva-portal.org/smash/get/diva2:2057404/FULLTEXT01.pdf" TargetMode="External"/><Relationship Id="rId49" Type="http://schemas.openxmlformats.org/officeDocument/2006/relationships/hyperlink" Target="https://www.synopsys.com/blogs/chip-design/future-of-auto-sensor-fusion-data-handling.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5.png"/><Relationship Id="rId73" Type="http://schemas.openxmlformats.org/officeDocument/2006/relationships/hyperlink" Target="https://bitsbytesgates.com/2020/03/27/modeling-random-stimulus-and-functional.html" TargetMode="External"/><Relationship Id="rId72" Type="http://schemas.openxmlformats.org/officeDocument/2006/relationships/hyperlink" Target="https://www.synopsys.com/glossary/what-is-asil.html" TargetMode="External"/><Relationship Id="rId31" Type="http://schemas.openxmlformats.org/officeDocument/2006/relationships/image" Target="media/image16.png"/><Relationship Id="rId30" Type="http://schemas.openxmlformats.org/officeDocument/2006/relationships/image" Target="media/image12.png"/><Relationship Id="rId74" Type="http://schemas.openxmlformats.org/officeDocument/2006/relationships/hyperlink" Target="https://pyvsc.readthedocs.io/en/latest/methods.html" TargetMode="External"/><Relationship Id="rId33" Type="http://schemas.openxmlformats.org/officeDocument/2006/relationships/hyperlink" Target="https://embedded.tessolve.com/blogs/sensor-fusion-in-autonomous-vehicles-the-role-of-embedded-systems/" TargetMode="External"/><Relationship Id="rId32" Type="http://schemas.openxmlformats.org/officeDocument/2006/relationships/image" Target="media/image20.png"/><Relationship Id="rId35" Type="http://schemas.openxmlformats.org/officeDocument/2006/relationships/hyperlink" Target="https://pmc.ncbi.nlm.nih.gov/articles/PMC8400951/" TargetMode="External"/><Relationship Id="rId34" Type="http://schemas.openxmlformats.org/officeDocument/2006/relationships/hyperlink" Target="https://www.aptiv.com/en/insights/article/what-is-sensor-fusion" TargetMode="External"/><Relationship Id="rId71" Type="http://schemas.openxmlformats.org/officeDocument/2006/relationships/hyperlink" Target="https://docs.cocotb.org/en/v1.4.0/simulator_support.html" TargetMode="External"/><Relationship Id="rId70" Type="http://schemas.openxmlformats.org/officeDocument/2006/relationships/hyperlink" Target="https://medium.com/@datenlord/deep-understanding-of-cocotbs-timing-model-2-7363d0918eb8" TargetMode="External"/><Relationship Id="rId37" Type="http://schemas.openxmlformats.org/officeDocument/2006/relationships/hyperlink" Target="https://patents.google.com/patent/US20220080992A1" TargetMode="External"/><Relationship Id="rId36" Type="http://schemas.openxmlformats.org/officeDocument/2006/relationships/hyperlink" Target="https://www.matlabexpo.com/content/dam/mathworks/mathworks-dot-com/images/responsive/supporting/events/matlab-expo-2021/proceedings/matlab-expo-2021-development-of-novel-sensor-fusion-architectures-for-autonomous-vehicles-edt.pdf" TargetMode="External"/><Relationship Id="rId39" Type="http://schemas.openxmlformats.org/officeDocument/2006/relationships/hyperlink" Target="https://en.wikipedia.org/wiki/Automotive_Safety_Integrity_Level" TargetMode="External"/><Relationship Id="rId38" Type="http://schemas.openxmlformats.org/officeDocument/2006/relationships/hyperlink" Target="https://www.jamasoftware.com/requirements-management-guide/automotive-engineering/asil/" TargetMode="External"/><Relationship Id="rId62" Type="http://schemas.openxmlformats.org/officeDocument/2006/relationships/hyperlink" Target="https://arxiv.org/html/2407.10317v1" TargetMode="External"/><Relationship Id="rId61" Type="http://schemas.openxmlformats.org/officeDocument/2006/relationships/hyperlink" Target="https://github.com/fvutils/pyvsc/blob/master/doc/source/introduction.rst" TargetMode="External"/><Relationship Id="rId20" Type="http://schemas.openxmlformats.org/officeDocument/2006/relationships/image" Target="media/image23.png"/><Relationship Id="rId64" Type="http://schemas.openxmlformats.org/officeDocument/2006/relationships/hyperlink" Target="https://pyvsc.readthedocs.io/en/latest/constraints.html" TargetMode="External"/><Relationship Id="rId63" Type="http://schemas.openxmlformats.org/officeDocument/2006/relationships/hyperlink" Target="https://blogs.sw.siemens.com/verificationhorizons/2021/09/09/python-and-the-uvm/" TargetMode="External"/><Relationship Id="rId22" Type="http://schemas.openxmlformats.org/officeDocument/2006/relationships/image" Target="media/image18.png"/><Relationship Id="rId66" Type="http://schemas.openxmlformats.org/officeDocument/2006/relationships/hyperlink" Target="https://www.mdpi.com/2079-9292/9/5/732" TargetMode="External"/><Relationship Id="rId21" Type="http://schemas.openxmlformats.org/officeDocument/2006/relationships/image" Target="media/image24.png"/><Relationship Id="rId65" Type="http://schemas.openxmlformats.org/officeDocument/2006/relationships/hyperlink" Target="https://woset-workshop.github.io/PDFs/2020/a15.pdf" TargetMode="External"/><Relationship Id="rId24" Type="http://schemas.openxmlformats.org/officeDocument/2006/relationships/image" Target="media/image9.png"/><Relationship Id="rId68" Type="http://schemas.openxmlformats.org/officeDocument/2006/relationships/hyperlink" Target="https://docs.cocotb.org/en/v1.9.1/simulator_support.html" TargetMode="External"/><Relationship Id="rId23" Type="http://schemas.openxmlformats.org/officeDocument/2006/relationships/image" Target="media/image10.png"/><Relationship Id="rId67" Type="http://schemas.openxmlformats.org/officeDocument/2006/relationships/hyperlink" Target="https://docs.cocotb.org/en/stable/timing_model.html" TargetMode="External"/><Relationship Id="rId60" Type="http://schemas.openxmlformats.org/officeDocument/2006/relationships/hyperlink" Target="https://www.syosil.com/images/resources/osv_whitepaper-1.0.3.0.pdf" TargetMode="External"/><Relationship Id="rId26" Type="http://schemas.openxmlformats.org/officeDocument/2006/relationships/image" Target="media/image6.png"/><Relationship Id="rId25" Type="http://schemas.openxmlformats.org/officeDocument/2006/relationships/image" Target="media/image26.png"/><Relationship Id="rId69" Type="http://schemas.openxmlformats.org/officeDocument/2006/relationships/hyperlink" Target="https://www.cocotb.org/2023/06/15/v1.8.0.html" TargetMode="External"/><Relationship Id="rId28" Type="http://schemas.openxmlformats.org/officeDocument/2006/relationships/image" Target="media/image11.png"/><Relationship Id="rId27" Type="http://schemas.openxmlformats.org/officeDocument/2006/relationships/image" Target="media/image14.png"/><Relationship Id="rId29" Type="http://schemas.openxmlformats.org/officeDocument/2006/relationships/image" Target="media/image27.png"/><Relationship Id="rId51" Type="http://schemas.openxmlformats.org/officeDocument/2006/relationships/hyperlink" Target="https://patents.google.com/patent/US7117420B1/en" TargetMode="External"/><Relationship Id="rId50" Type="http://schemas.openxmlformats.org/officeDocument/2006/relationships/hyperlink" Target="https://mirrors.meulie.net/bitsavers.org/pdf/ibm/IBM_Journal_of_Research_and_Development/282/chen.pdf" TargetMode="External"/><Relationship Id="rId53" Type="http://schemas.openxmlformats.org/officeDocument/2006/relationships/hyperlink" Target="https://www.synopsys.com/articles/ecc-memory-error-correction.html" TargetMode="External"/><Relationship Id="rId52" Type="http://schemas.openxmlformats.org/officeDocument/2006/relationships/hyperlink" Target="https://www.emergentmind.com/topics/ecc-secded" TargetMode="External"/><Relationship Id="rId11" Type="http://schemas.openxmlformats.org/officeDocument/2006/relationships/image" Target="media/image2.png"/><Relationship Id="rId55" Type="http://schemas.openxmlformats.org/officeDocument/2006/relationships/hyperlink" Target="https://veripool.org/verilator/documentation/" TargetMode="External"/><Relationship Id="rId10" Type="http://schemas.openxmlformats.org/officeDocument/2006/relationships/image" Target="media/image13.png"/><Relationship Id="rId54" Type="http://schemas.openxmlformats.org/officeDocument/2006/relationships/hyperlink" Target="https://github.com/RoaLogic/Hamming-ECC/blob/master/rtl/verilog/ecc_dec.sv" TargetMode="External"/><Relationship Id="rId13" Type="http://schemas.openxmlformats.org/officeDocument/2006/relationships/image" Target="media/image19.png"/><Relationship Id="rId57" Type="http://schemas.openxmlformats.org/officeDocument/2006/relationships/hyperlink" Target="https://www.cocotb.org/" TargetMode="External"/><Relationship Id="rId12" Type="http://schemas.openxmlformats.org/officeDocument/2006/relationships/image" Target="media/image7.png"/><Relationship Id="rId56" Type="http://schemas.openxmlformats.org/officeDocument/2006/relationships/hyperlink" Target="https://verilator.org/guide/latest/languages.html" TargetMode="External"/><Relationship Id="rId15" Type="http://schemas.openxmlformats.org/officeDocument/2006/relationships/image" Target="media/image25.png"/><Relationship Id="rId59" Type="http://schemas.openxmlformats.org/officeDocument/2006/relationships/hyperlink" Target="https://github.com/pyuvm/pyuvm" TargetMode="External"/><Relationship Id="rId14" Type="http://schemas.openxmlformats.org/officeDocument/2006/relationships/image" Target="media/image5.png"/><Relationship Id="rId58" Type="http://schemas.openxmlformats.org/officeDocument/2006/relationships/hyperlink" Target="https://docs.cocotb.org/en/latest/simulator_support.html" TargetMode="External"/><Relationship Id="rId17" Type="http://schemas.openxmlformats.org/officeDocument/2006/relationships/image" Target="media/image1.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