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FF440D"/>
          <w:sz w:val="22"/>
        </w:rPr>
        <w:t>DOCTORS AI ASSISTANT SERVICE</w:t>
      </w:r>
    </w:p>
    <w:p>
      <w:pPr>
        <w:pStyle w:val="Heading1"/>
        <w:spacing w:after="80"/>
      </w:pPr>
      <w:r>
        <w:rPr>
          <w:rFonts w:ascii="Arial" w:hAnsi="Arial"/>
          <w:b/>
          <w:color w:val="0F172A"/>
          <w:sz w:val="44"/>
        </w:rPr>
        <w:t>Healthcare Transformation Platform &amp; Clinical Decision Support</w:t>
      </w:r>
    </w:p>
    <w:p>
      <w:pPr>
        <w:spacing w:after="280"/>
      </w:pPr>
      <w:r>
        <w:rPr>
          <w:rFonts w:ascii="Arial" w:hAnsi="Arial"/>
          <w:i/>
          <w:color w:val="64748B"/>
          <w:sz w:val="24"/>
        </w:rPr>
        <w:t>Enterprise Case Study: Problem Statement, Proposed Solution &amp; Implementation Architecture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8"/>
              </w:rPr>
              <w:t>Project / Service Name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Doctors AI Assistant Service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sz w:val="18"/>
              </w:rPr>
              <w:t>Core Healthcare Scope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Tele-Triage, Pre-Hospital Emergency Care, Mobile Health Vans, Camp Diagnostics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sz w:val="18"/>
              </w:rPr>
              <w:t>Geographic Reach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North &amp; Central India (Uttar Pradesh, Bihar, Jharkhand &amp; regional outreach)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sz w:val="18"/>
              </w:rPr>
              <w:t>Primary Stakeholders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Primary Care Doctors, Consulting Specialists, Field Paramedics, Community Nurses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sz w:val="18"/>
              </w:rPr>
              <w:t>Integrated Portals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Clinical Tele-Consultation Gateway, Enterprise MIS Portal, Clinical LMS Gateway</w:t>
            </w:r>
          </w:p>
        </w:tc>
      </w:tr>
    </w:tbl>
    <w:p>
      <w:pPr>
        <w:spacing w:after="200"/>
      </w:pPr>
    </w:p>
    <w:p>
      <w:pPr>
        <w:pStyle w:val="Heading1"/>
        <w:spacing w:before="320" w:after="120"/>
      </w:pPr>
      <w:r>
        <w:rPr>
          <w:rFonts w:ascii="Arial" w:hAnsi="Arial"/>
          <w:b/>
          <w:color w:val="0F172A"/>
          <w:sz w:val="36"/>
        </w:rPr>
        <w:t>1. Executive Summary</w:t>
      </w:r>
    </w:p>
    <w:p>
      <w:pPr>
        <w:spacing w:after="120" w:line="276" w:lineRule="auto"/>
      </w:pPr>
      <w:r>
        <w:rPr>
          <w:rFonts w:ascii="Arial" w:hAnsi="Arial"/>
          <w:i w:val="0"/>
          <w:color w:val="334155"/>
          <w:sz w:val="20"/>
        </w:rPr>
        <w:t>Access to timely, specialist-guided medical attention remains one of the most critical challenges in healthcare delivery across emerging regions. With a severe shortage of doctors in tier-2, tier-3, and rural communities, primary health workers and local clinics face overwhelming patient volumes, delayed emergency triage, and fragmented medical recordkeeping.</w:t>
      </w:r>
    </w:p>
    <w:p>
      <w:pPr>
        <w:spacing w:after="120" w:line="276" w:lineRule="auto"/>
      </w:pPr>
      <w:r>
        <w:rPr>
          <w:rFonts w:ascii="Arial" w:hAnsi="Arial"/>
          <w:i w:val="0"/>
          <w:color w:val="334155"/>
          <w:sz w:val="20"/>
        </w:rPr>
        <w:t>To solve this clinical access bottleneck, the Doctors AI Assistant Service was deployed as an integrated digital healthcare and clinical decision-support ecosystem. Combining real-time telemedicine consultation, AI-assisted symptom triage, connected mobile health vans, and centralized Management Information Systems (MIS), the service empowers doctors, paramedics, and field clinics with institutional-grade diagnostic capabilities.</w:t>
      </w:r>
    </w:p>
    <w:p>
      <w:pPr>
        <w:spacing w:after="120" w:line="276" w:lineRule="auto"/>
      </w:pPr>
      <w:r>
        <w:rPr>
          <w:rFonts w:ascii="Arial" w:hAnsi="Arial"/>
          <w:i w:val="0"/>
          <w:color w:val="334155"/>
          <w:sz w:val="20"/>
        </w:rPr>
        <w:t>By bridging pre-hospital care and specialist hospital networks, the platform has achieved an 80% reduction in tele-triage response time, expanded point-of-care diagnostic screening across 100+ communities, automated clinical documentation for overburdened physicians, and created a unified digital health infrastructure serving over 500,000 community members.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172A"/>
          <w:sz w:val="36"/>
        </w:rPr>
        <w:t>2. Operational Background &amp; Healthcare Context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1E293B"/>
          <w:sz w:val="28"/>
        </w:rPr>
        <w:t>2.1 Ecosystem Overview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>Deployment Footprint:</w:t>
      </w:r>
      <w:r>
        <w:rPr>
          <w:rFonts w:ascii="Arial" w:hAnsi="Arial"/>
          <w:color w:val="334155"/>
          <w:sz w:val="20"/>
        </w:rPr>
        <w:t xml:space="preserve"> Comprehensive healthcare outreach across Uttar Pradesh (operating hub in Lucknow), Bihar, and Jharkhand, connecting primary healthcare centers, village clinics, and mobile medical vans.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>Service Continuum:</w:t>
      </w:r>
      <w:r>
        <w:rPr>
          <w:rFonts w:ascii="Arial" w:hAnsi="Arial"/>
          <w:color w:val="334155"/>
          <w:sz w:val="20"/>
        </w:rPr>
        <w:t xml:space="preserve"> Complete continuum of care spanning Pre-Hospital Emergency Care, Primary Health Camps, Maternal &amp; Child Health, Preventive Screenings, Mobile Health Vans, Diagnostics &amp; Lab Services, and Hospital Referrals.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>Enterprise MIS Portal:</w:t>
      </w:r>
      <w:r>
        <w:rPr>
          <w:rFonts w:ascii="Arial" w:hAnsi="Arial"/>
          <w:color w:val="334155"/>
          <w:sz w:val="20"/>
        </w:rPr>
        <w:t xml:space="preserve"> Centralized patient electronic health records (EHR), prescription tracking, and epidemiological reporting.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>Clinical LMS Portal:</w:t>
      </w:r>
      <w:r>
        <w:rPr>
          <w:rFonts w:ascii="Arial" w:hAnsi="Arial"/>
          <w:color w:val="334155"/>
          <w:sz w:val="20"/>
        </w:rPr>
        <w:t xml:space="preserve"> Standardized training and certification platform for community health nurses and paramedics.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1E293B"/>
          <w:sz w:val="28"/>
        </w:rPr>
        <w:t>2.2 Supply-Demand Imbalance in Healthcare Delivery</w:t>
      </w:r>
    </w:p>
    <w:p>
      <w:pPr>
        <w:spacing w:after="120" w:line="276" w:lineRule="auto"/>
      </w:pPr>
      <w:r>
        <w:rPr>
          <w:rFonts w:ascii="Arial" w:hAnsi="Arial"/>
          <w:i w:val="0"/>
          <w:color w:val="334155"/>
          <w:sz w:val="20"/>
        </w:rPr>
        <w:t>In the target operating territories, the patient-to-doctor ratio often exceeds 1 doctor per 5,000 citizens (well above the WHO recommended threshold of 1:1,000). Specialist doctors—such as cardiologists, gynecologists, pediatricians, and pulmonologists—are clustered in metropolitan hospitals, leaving rural populations dependent on emergency transportation or delayed consultations.</w:t>
      </w:r>
    </w:p>
    <w:p>
      <w:pPr>
        <w:spacing w:after="120" w:line="276" w:lineRule="auto"/>
      </w:pPr>
      <w:r>
        <w:rPr>
          <w:rFonts w:ascii="Arial" w:hAnsi="Arial"/>
          <w:i w:val="0"/>
          <w:color w:val="334155"/>
          <w:sz w:val="20"/>
        </w:rPr>
        <w:t>Furthermore, pre-hospital emergency transit times can exceed 2 to 4 hours, meaning that without real-time vitals monitoring and AI-guided stabilization protocols, patients suffering acute cardiovascular, respiratory, or obstetric emergencies face significantly elevated mortality risks.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172A"/>
          <w:sz w:val="36"/>
        </w:rPr>
        <w:t>3. The Client Problem Statement</w:t>
      </w:r>
    </w:p>
    <w:p>
      <w:pPr>
        <w:spacing w:after="120" w:line="276" w:lineRule="auto"/>
      </w:pPr>
      <w:r>
        <w:rPr>
          <w:rFonts w:ascii="Arial" w:hAnsi="Arial"/>
          <w:i w:val="0"/>
          <w:color w:val="334155"/>
          <w:sz w:val="20"/>
        </w:rPr>
        <w:t>Field evaluations and doctor feedback identified six acute structural bottlenecks in regional healthcare delivery: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>1. Severe Specialist Deficit:</w:t>
      </w:r>
      <w:r>
        <w:rPr>
          <w:rFonts w:ascii="Arial" w:hAnsi="Arial"/>
          <w:color w:val="334155"/>
          <w:sz w:val="20"/>
        </w:rPr>
        <w:t xml:space="preserve"> Specialist doctors are concentrated in major metropolitan tertiary centers; rural and peri-urban clinics have zero on-site specialist coverage.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>2. Pre-Hospital Triage Delays:</w:t>
      </w:r>
      <w:r>
        <w:rPr>
          <w:rFonts w:ascii="Arial" w:hAnsi="Arial"/>
          <w:color w:val="334155"/>
          <w:sz w:val="20"/>
        </w:rPr>
        <w:t xml:space="preserve"> In emergency transit, ambulances and mobile vans lacked real-time doctor connectivity and automated vitals triage, leading to preventable complications during the 'golden hour'.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>3. Fragmented Paper Records:</w:t>
      </w:r>
      <w:r>
        <w:rPr>
          <w:rFonts w:ascii="Arial" w:hAnsi="Arial"/>
          <w:color w:val="334155"/>
          <w:sz w:val="20"/>
        </w:rPr>
        <w:t xml:space="preserve"> Camp visits, local dispensaries, and referral hospitals maintained disconnected paper registers with zero historical tracking.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>4. Physician Burnout &amp; Time Contention:</w:t>
      </w:r>
      <w:r>
        <w:rPr>
          <w:rFonts w:ascii="Arial" w:hAnsi="Arial"/>
          <w:color w:val="334155"/>
          <w:sz w:val="20"/>
        </w:rPr>
        <w:t xml:space="preserve"> Doctors spent over 50% of consultation time manually recording vitals, writing repetitive notes, and drafting prescriptions.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>5. Diagnostic &amp; Lab Latency:</w:t>
      </w:r>
      <w:r>
        <w:rPr>
          <w:rFonts w:ascii="Arial" w:hAnsi="Arial"/>
          <w:color w:val="334155"/>
          <w:sz w:val="20"/>
        </w:rPr>
        <w:t xml:space="preserve"> Blood tests and basic screening kits took 3–5 days to process through distant centralized laboratories, delaying treatment.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>6. Frontline Training Inconsistencies:</w:t>
      </w:r>
      <w:r>
        <w:rPr>
          <w:rFonts w:ascii="Arial" w:hAnsi="Arial"/>
          <w:color w:val="334155"/>
          <w:sz w:val="20"/>
        </w:rPr>
        <w:t xml:space="preserve"> Paramedics and community health workers had varied clinical protocols, leading to inconsistent triage accuracy and unnecessary hospital transfers.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172A"/>
          <w:sz w:val="36"/>
        </w:rPr>
        <w:t>4. Implemented Solution Architecture</w:t>
      </w:r>
    </w:p>
    <w:p>
      <w:pPr>
        <w:spacing w:after="120" w:line="276" w:lineRule="auto"/>
      </w:pPr>
      <w:r>
        <w:rPr>
          <w:rFonts w:ascii="Arial" w:hAnsi="Arial"/>
          <w:i w:val="0"/>
          <w:color w:val="334155"/>
          <w:sz w:val="20"/>
        </w:rPr>
        <w:t>The Doctors AI Assistant Service was engineered as an end-to-end digital health platform connecting patients, frontline paramedics, consulting physicians, and hospital administrators: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>1. AI Clinical Decision Support (CDSS):</w:t>
      </w:r>
      <w:r>
        <w:rPr>
          <w:rFonts w:ascii="Arial" w:hAnsi="Arial"/>
          <w:color w:val="334155"/>
          <w:sz w:val="20"/>
        </w:rPr>
        <w:t xml:space="preserve"> Intelligent triage engine that analyzes patient vitals, reported symptoms, and demographic risks to suggest differential diagnoses and flag emergency red-flag conditions.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>2. Real-Time Tele-Consultation Cockpit:</w:t>
      </w:r>
      <w:r>
        <w:rPr>
          <w:rFonts w:ascii="Arial" w:hAnsi="Arial"/>
          <w:color w:val="334155"/>
          <w:sz w:val="20"/>
        </w:rPr>
        <w:t xml:space="preserve"> High-definition, low-bandwidth WebRTC video and audio channels enabling consulting doctors to examine patients remotely and inspect live ECG streams.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>3. Connected Mobile Health Vans:</w:t>
      </w:r>
      <w:r>
        <w:rPr>
          <w:rFonts w:ascii="Arial" w:hAnsi="Arial"/>
          <w:color w:val="334155"/>
          <w:sz w:val="20"/>
        </w:rPr>
        <w:t xml:space="preserve"> Custom-outfitted medical vans equipped with multi-parameter vital sign monitors, automated diagnostic kits, and onboard connectivity syncing directly to cloud MIS.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>4. Automated Speech-to-Text Clinical Notes:</w:t>
      </w:r>
      <w:r>
        <w:rPr>
          <w:rFonts w:ascii="Arial" w:hAnsi="Arial"/>
          <w:color w:val="334155"/>
          <w:sz w:val="20"/>
        </w:rPr>
        <w:t xml:space="preserve"> Frontline doctors and paramedics dictate observations hands-free; the AI assistant formats them into standardized clinical notes.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>5. Integrated MIS &amp; LMS Ecosystem:</w:t>
      </w:r>
      <w:r>
        <w:rPr>
          <w:rFonts w:ascii="Arial" w:hAnsi="Arial"/>
          <w:color w:val="334155"/>
          <w:sz w:val="20"/>
        </w:rPr>
        <w:t xml:space="preserve"> Unified patient longitudinal records across all health camps with automated referral workflows into empanelled tertiary hospitals.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172A"/>
          <w:sz w:val="36"/>
        </w:rPr>
        <w:t>5. Visual System Tour — Actual Implemented Screens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1E293B"/>
          <w:sz w:val="28"/>
        </w:rPr>
        <w:t>Screen 1: Healthcare Gateway &amp; Service Architecture</w:t>
      </w:r>
    </w:p>
    <w:p>
      <w:pPr>
        <w:spacing w:after="120" w:line="276" w:lineRule="auto"/>
      </w:pPr>
      <w:r>
        <w:rPr>
          <w:rFonts w:ascii="Arial" w:hAnsi="Arial"/>
          <w:i w:val="0"/>
          <w:color w:val="334155"/>
          <w:sz w:val="20"/>
        </w:rPr>
        <w:t>The central digital gateway presenting the Doctors AI Assistant Service ecosystem, emergency contact callouts, telemedicine consultation triggers, and multi-program access for community healthcare initiatives.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364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tors_ai_screen_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36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Arial" w:hAnsi="Arial"/>
          <w:i/>
          <w:color w:val="6E6E6E"/>
          <w:sz w:val="17"/>
        </w:rPr>
        <w:t>Figure 1: Main portal interface displaying comprehensive healthcare solutions, 24/7 pre-hospital emergency triage, telemedicine access, and centralized administrative portals (MIS &amp; LMS).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1E293B"/>
          <w:sz w:val="28"/>
        </w:rPr>
        <w:t>Screen 2: Integrated Healthcare Programmes &amp; Services Matrix</w:t>
      </w:r>
    </w:p>
    <w:p>
      <w:pPr>
        <w:spacing w:after="120" w:line="276" w:lineRule="auto"/>
      </w:pPr>
      <w:r>
        <w:rPr>
          <w:rFonts w:ascii="Arial" w:hAnsi="Arial"/>
          <w:i w:val="0"/>
          <w:color w:val="334155"/>
          <w:sz w:val="20"/>
        </w:rPr>
        <w:t>A modular catalog outlining primary care workflows, maternal and child wellness, preventive screening camps, mobile medical units, and pharmacy dispensary management.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364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tors_ai_screen_servic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36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Arial" w:hAnsi="Arial"/>
          <w:i/>
          <w:color w:val="6E6E6E"/>
          <w:sz w:val="17"/>
        </w:rPr>
        <w:t>Figure 2: Healthcare delivery matrix displaying core clinical services: Pre-Hospital Care, Health Camps, Maternal Health, Preventive Screenings, Mobile Health Vans, and Diagnostic Labs.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1E293B"/>
          <w:sz w:val="28"/>
        </w:rPr>
        <w:t>Screen 3: Institutional Mission, Coverage &amp; Community Governance</w:t>
      </w:r>
    </w:p>
    <w:p>
      <w:pPr>
        <w:spacing w:after="120" w:line="276" w:lineRule="auto"/>
      </w:pPr>
      <w:r>
        <w:rPr>
          <w:rFonts w:ascii="Arial" w:hAnsi="Arial"/>
          <w:i w:val="0"/>
          <w:color w:val="334155"/>
          <w:sz w:val="20"/>
        </w:rPr>
        <w:t>The administrative and strategic overview detailing regional deployment across Uttar Pradesh, Bihar, and Jharkhand, highlighting governance structures, clinical partnerships, and healthcare equity goals.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364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tors_ai_screen_abo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36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Arial" w:hAnsi="Arial"/>
          <w:i/>
          <w:color w:val="6E6E6E"/>
          <w:sz w:val="17"/>
        </w:rPr>
        <w:t>Figure 3: Institutional profile detailing regional outreach, healthcare access democratization, elderly community care, and clinical governance protocols.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1E293B"/>
          <w:sz w:val="28"/>
        </w:rPr>
        <w:t>Screen 4: Pre-Hospital Tele-Triage &amp; Telemedicine Consultation</w:t>
      </w:r>
    </w:p>
    <w:p>
      <w:pPr>
        <w:spacing w:after="120" w:line="276" w:lineRule="auto"/>
      </w:pPr>
      <w:r>
        <w:rPr>
          <w:rFonts w:ascii="Arial" w:hAnsi="Arial"/>
          <w:i w:val="0"/>
          <w:color w:val="334155"/>
          <w:sz w:val="20"/>
        </w:rPr>
        <w:t>The digital clinical interface enabling field nurses and paramedics in ambulances or village health centers to connect instantly with tele-consulting doctors while transmitting live vital signs.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364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tors_ai_screen_telemedic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36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Arial" w:hAnsi="Arial"/>
          <w:i/>
          <w:color w:val="6E6E6E"/>
          <w:sz w:val="17"/>
        </w:rPr>
        <w:t>Figure 4: Pre-hospital care interface showing 24/7 tele-triage, emergency stabilization protocols, and doctor consultation workflows.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1E293B"/>
          <w:sz w:val="28"/>
        </w:rPr>
        <w:t>Screen 5: Mobile Health Vans &amp; Primary Camp Operations</w:t>
      </w:r>
    </w:p>
    <w:p>
      <w:pPr>
        <w:spacing w:after="120" w:line="276" w:lineRule="auto"/>
      </w:pPr>
      <w:r>
        <w:rPr>
          <w:rFonts w:ascii="Arial" w:hAnsi="Arial"/>
          <w:i w:val="0"/>
          <w:color w:val="334155"/>
          <w:sz w:val="20"/>
        </w:rPr>
        <w:t>The mobile operations cockpit managing point-of-care diagnostic vans, route planning across rural districts, on-ground health camps, and direct patient data ingestion into the central MIS.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364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tors_ai_screen_operati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36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Arial" w:hAnsi="Arial"/>
          <w:i/>
          <w:color w:val="6E6E6E"/>
          <w:sz w:val="17"/>
        </w:rPr>
        <w:t>Figure 5: Mobile health unit operations showing on-ground medical vans, diagnostic screening camps, and community outreach logistics.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172A"/>
          <w:sz w:val="36"/>
        </w:rPr>
        <w:t>6. Measured Clinical &amp; Operational Impact</w:t>
      </w:r>
    </w:p>
    <w:p>
      <w:pPr>
        <w:spacing w:after="120" w:line="276" w:lineRule="auto"/>
      </w:pPr>
      <w:r>
        <w:rPr>
          <w:rFonts w:ascii="Arial" w:hAnsi="Arial"/>
          <w:i w:val="0"/>
          <w:color w:val="334155"/>
          <w:sz w:val="20"/>
        </w:rPr>
        <w:t>Following the rollout of the Doctors AI Assistant Service across target health networks, measurable clinical and operational enhancements were validated: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>• 80% Reduction in Tele-Triage Response Time:</w:t>
      </w:r>
      <w:r>
        <w:rPr>
          <w:rFonts w:ascii="Arial" w:hAnsi="Arial"/>
          <w:color w:val="334155"/>
          <w:sz w:val="20"/>
        </w:rPr>
        <w:t xml:space="preserve"> Accelerated doctor connectivity enabled pre-hospital clinical guidance during the first 60 minutes of critical medical emergencies, reducing tele-triage time from 45 minutes to &lt; 8 minutes.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>• 60% Increase in Physician Consultation Capacity:</w:t>
      </w:r>
      <w:r>
        <w:rPr>
          <w:rFonts w:ascii="Arial" w:hAnsi="Arial"/>
          <w:color w:val="334155"/>
          <w:sz w:val="20"/>
        </w:rPr>
        <w:t xml:space="preserve"> Automated transcription and pre-filled clinical summaries allowed doctors to consult 60% more patients per clinic session without cognitive overload.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>• Instant Diagnostic Lab Turnaround:</w:t>
      </w:r>
      <w:r>
        <w:rPr>
          <w:rFonts w:ascii="Arial" w:hAnsi="Arial"/>
          <w:color w:val="334155"/>
          <w:sz w:val="20"/>
        </w:rPr>
        <w:t xml:space="preserve"> Point-of-care vitals kits and instant diagnostic screening delivered test results in &lt;15 minutes compared to 3-5 days previously.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>• 44% Higher Golden Hour Hospital Capture:</w:t>
      </w:r>
      <w:r>
        <w:rPr>
          <w:rFonts w:ascii="Arial" w:hAnsi="Arial"/>
          <w:color w:val="334155"/>
          <w:sz w:val="20"/>
        </w:rPr>
        <w:t xml:space="preserve"> Pre-arrival notification and real-time remote stabilization increased successful arrivals at tertiary referral hospitals by 44%.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>• 100% Digital EHR Longitudinal Records:</w:t>
      </w:r>
      <w:r>
        <w:rPr>
          <w:rFonts w:ascii="Arial" w:hAnsi="Arial"/>
          <w:color w:val="334155"/>
          <w:sz w:val="20"/>
        </w:rPr>
        <w:t xml:space="preserve"> Over 75,000 chronic disease patients are tracked with digital longitudinal records, leading to marked reductions in cardiovascular emergencies.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