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TRADING CHECKER PROJECT</w:t>
      </w:r>
    </w:p>
    <w:p>
      <w:pPr>
        <w:pStyle w:val="Heading1"/>
        <w:spacing w:after="80"/>
      </w:pPr>
      <w:r>
        <w:rPr>
          <w:rFonts w:ascii="Arial" w:hAnsi="Arial"/>
          <w:b/>
          <w:color w:val="0F172A"/>
          <w:sz w:val="44"/>
        </w:rPr>
        <w:t>Next-Gen AI Equity Research &amp; Market Intelligence Platform</w:t>
      </w:r>
    </w:p>
    <w:p>
      <w:pPr>
        <w:spacing w:after="280"/>
      </w:pPr>
      <w:r>
        <w:rPr>
          <w:rFonts w:ascii="Arial" w:hAnsi="Arial"/>
          <w:i/>
          <w:color w:val="64748B"/>
          <w:sz w:val="24"/>
        </w:rPr>
        <w:t>Enterprise Case Study: Client Problem Statement, Proposed Solution &amp; Digital Transformation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8"/>
              </w:rPr>
              <w:t>Client Entity</w:t>
            </w:r>
          </w:p>
        </w:tc>
        <w:tc>
          <w:tcPr>
            <w:tcW w:type="dxa" w:w="4968"/>
          </w:tcPr>
          <w:p>
            <w:r>
              <w:t>Trading Checker Project (Enterprise Market Intelligence Platform)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8"/>
              </w:rPr>
              <w:t>Regulatory License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Corporate Authorised Representative (CAR No. 1293674) of Enva Australia (AFSL 424494)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8"/>
              </w:rPr>
              <w:t>Industry &amp; Domain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FinTech, Equities Research, Algorithmic Stock Analysis &amp; Wealth Intelligence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8"/>
              </w:rPr>
              <w:t>Markets Covered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Australian Securities Exchange (ASX), US Equities, TSX (Canada), Global Equities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8"/>
              </w:rPr>
              <w:t>Platform Portal</w:t>
            </w:r>
          </w:p>
        </w:tc>
        <w:tc>
          <w:tcPr>
            <w:tcW w:type="dxa" w:w="4968"/>
          </w:tcPr>
          <w:p>
            <w:r>
              <w:t>https://app.tradingchecker.com</w:t>
            </w:r>
          </w:p>
        </w:tc>
      </w:tr>
    </w:tbl>
    <w:p>
      <w:pPr>
        <w:spacing w:after="20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F172A"/>
          <w:sz w:val="36"/>
        </w:rPr>
        <w:t>1. Executive Summary</w:t>
      </w:r>
    </w:p>
    <w:p>
      <w:pPr>
        <w:spacing w:after="120" w:line="276" w:lineRule="auto"/>
      </w:pPr>
      <w:r>
        <w:t>Trading Checker Project is a premier Sydney-based equities research and investment advisory firm providing institutional-grade stock analysis and market recommendations to retail and high-net-worth investors across Australia and international capital markets. Authorized under the Australian Financial Services Licensing (AFSL) regime, the firm covers over 2,000 ASX-listed equities as well as selected opportunities in US, Canadian, UK, and Indian markets.</w:t>
      </w:r>
    </w:p>
    <w:p>
      <w:pPr>
        <w:spacing w:after="120" w:line="276" w:lineRule="auto"/>
      </w:pPr>
      <w:r>
        <w:t>As retail investor participation surged and demand for fast, plain-English market intelligence grew, Trading Checker recognized that traditional research delivery—dominated by static 30-page PDF reports, fragmented email alerts, and slow web interfaces—could no longer satisfy modern market participants.</w:t>
      </w:r>
    </w:p>
    <w:p>
      <w:pPr>
        <w:spacing w:after="120" w:line="276" w:lineRule="auto"/>
      </w:pPr>
      <w:r>
        <w:t>Our team was engaged to architect, design, and engineer a comprehensive digital transformation for Trading Checker: an AI-First Equities Research, Real-Time Charting &amp; Wealth Intelligence Platform. By integrating custom conversational AI research assistants, real-time interactive technical charting, multi-asset comparative analyzers, and automated portfolio health diagnostics, the new platform transformed Trading Checker from a static subscription publisher into a dynamic, real-time financial intelligence hub.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172A"/>
          <w:sz w:val="36"/>
        </w:rPr>
        <w:t>2. Client Background &amp; Industry Context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E293B"/>
          <w:sz w:val="28"/>
        </w:rPr>
        <w:t>2.1 Enterprise Profile</w:t>
      </w:r>
    </w:p>
    <w:p>
      <w:pPr>
        <w:pStyle w:val="ListBullet"/>
        <w:spacing w:after="60" w:line="276" w:lineRule="auto"/>
      </w:pPr>
      <w:r>
        <w:t>Entity Name: Trading Checker Project (Enterprise Equities Intelligence Platform).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Headquarters:</w:t>
      </w:r>
      <w:r>
        <w:rPr>
          <w:rFonts w:ascii="Arial" w:hAnsi="Arial"/>
          <w:color w:val="334155"/>
          <w:sz w:val="20"/>
        </w:rPr>
        <w:t xml:space="preserve"> Level 13, Suite 1A, 465 Victoria Ave, Chatswood, NSW 2067, Australia.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Licensing &amp; Governance:</w:t>
      </w:r>
      <w:r>
        <w:rPr>
          <w:rFonts w:ascii="Arial" w:hAnsi="Arial"/>
          <w:color w:val="334155"/>
          <w:sz w:val="20"/>
        </w:rPr>
        <w:t xml:space="preserve"> Corporate Authorised Representative (CAR No. 1293674) operating under Enva Australia Pty Ltd (AFSL 424494). All recommendations comply strictly with ASIC regulatory frameworks.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Coverage Scope:</w:t>
      </w:r>
      <w:r>
        <w:rPr>
          <w:rFonts w:ascii="Arial" w:hAnsi="Arial"/>
          <w:color w:val="334155"/>
          <w:sz w:val="20"/>
        </w:rPr>
        <w:t xml:space="preserve"> 2,000+ ASX equities (ASX 200, ASX 300, Small &amp; Micro-Caps), alongside North American and Asian growth markets.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E293B"/>
          <w:sz w:val="28"/>
        </w:rPr>
        <w:t>2.2 Product &amp; Subscription Ecosystem</w:t>
      </w:r>
    </w:p>
    <w:p>
      <w:pPr>
        <w:spacing w:after="120" w:line="276" w:lineRule="auto"/>
      </w:pPr>
      <w:r>
        <w:t>Trading Checker provides tailored investment publications across targeted strategies:</w:t>
      </w:r>
    </w:p>
    <w:p>
      <w:pPr>
        <w:pStyle w:val="ListBullet"/>
        <w:spacing w:after="60" w:line="276" w:lineRule="auto"/>
      </w:pPr>
      <w:r>
        <w:t>Trading Checker Daily Market Dose: Morning pre-market briefing summarizing overnight Wall Street action, SPI futures, commodity swings, and key ASX announcements.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Swing Trades:</w:t>
      </w:r>
      <w:r>
        <w:rPr>
          <w:rFonts w:ascii="Arial" w:hAnsi="Arial"/>
          <w:color w:val="334155"/>
          <w:sz w:val="20"/>
        </w:rPr>
        <w:t xml:space="preserve"> Medium-term momentum opportunities leveraging technical breakout indicators and volume catalysts.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Dividend Income Report:</w:t>
      </w:r>
      <w:r>
        <w:rPr>
          <w:rFonts w:ascii="Arial" w:hAnsi="Arial"/>
          <w:color w:val="334155"/>
          <w:sz w:val="20"/>
        </w:rPr>
        <w:t xml:space="preserve"> Focus on stable, high-yield ASX dividend compounders with franking credit optimization.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Small Cap Shooters:</w:t>
      </w:r>
      <w:r>
        <w:rPr>
          <w:rFonts w:ascii="Arial" w:hAnsi="Arial"/>
          <w:color w:val="334155"/>
          <w:sz w:val="20"/>
        </w:rPr>
        <w:t xml:space="preserve"> Discovery research on emerging micro-caps, junior mining explorers, and high-beta disruptors.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Growth Equity &amp; Breakout Reports:</w:t>
      </w:r>
      <w:r>
        <w:rPr>
          <w:rFonts w:ascii="Arial" w:hAnsi="Arial"/>
          <w:color w:val="334155"/>
          <w:sz w:val="20"/>
        </w:rPr>
        <w:t xml:space="preserve"> Fundamental analysis of quality compounders with structural industry tailwinds.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Resource &amp; Renewable Energy Reports:</w:t>
      </w:r>
      <w:r>
        <w:rPr>
          <w:rFonts w:ascii="Arial" w:hAnsi="Arial"/>
          <w:color w:val="334155"/>
          <w:sz w:val="20"/>
        </w:rPr>
        <w:t xml:space="preserve"> Deep-dive coverage into Australian critical minerals (lithium, copper, uranium, rare earths) and clean energy transitions.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172A"/>
          <w:sz w:val="36"/>
        </w:rPr>
        <w:t>3. The Client Problem Statement</w:t>
      </w:r>
    </w:p>
    <w:p>
      <w:pPr>
        <w:spacing w:after="120" w:line="276" w:lineRule="auto"/>
      </w:pPr>
      <w:r>
        <w:t>Through extensive operational audits across the platform's research workflows, six critical friction points were identified: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1. Static PDF Graveyard:</w:t>
      </w:r>
      <w:r>
        <w:rPr>
          <w:rFonts w:ascii="Arial" w:hAnsi="Arial"/>
          <w:color w:val="334155"/>
          <w:sz w:val="20"/>
        </w:rPr>
        <w:t xml:space="preserve"> Research was locked inside lengthy PDF reports distributed via email attachments, resulting in low readership (&lt;15%) and zero mobile usability.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2. Information Overload &amp; Analysis Paralysis:</w:t>
      </w:r>
      <w:r>
        <w:rPr>
          <w:rFonts w:ascii="Arial" w:hAnsi="Arial"/>
          <w:color w:val="334155"/>
          <w:sz w:val="20"/>
        </w:rPr>
        <w:t xml:space="preserve"> Retail investors struggled to digest 20-page technical documents to extract simple answers on whether to buy, hold, or sell.</w:t>
      </w:r>
    </w:p>
    <w:p>
      <w:pPr>
        <w:pStyle w:val="ListBullet"/>
        <w:spacing w:after="60" w:line="276" w:lineRule="auto"/>
      </w:pPr>
      <w:r>
        <w:t>3. Lack of Interactive Tooling: Clients had to read a report on Trading Checker, then switch to third-party platforms (TradingView, CommSec) to view charts and check technicals.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4. Multi-Stock Comparison Friction:</w:t>
      </w:r>
      <w:r>
        <w:rPr>
          <w:rFonts w:ascii="Arial" w:hAnsi="Arial"/>
          <w:color w:val="334155"/>
          <w:sz w:val="20"/>
        </w:rPr>
        <w:t xml:space="preserve"> Comparing peer stocks (e.g., BHP vs. RIO) required opening separate documents and manually matching metrics, killing visit momentum.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5. Unstructured Portfolio Monitoring:</w:t>
      </w:r>
      <w:r>
        <w:rPr>
          <w:rFonts w:ascii="Arial" w:hAnsi="Arial"/>
          <w:color w:val="334155"/>
          <w:sz w:val="20"/>
        </w:rPr>
        <w:t xml:space="preserve"> Subscribers had no integrated way to upload their existing holdings to receive tailored research updates on stocks they actually owned.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6. Regulatory Compliance &amp; Disclaimers Overhead:</w:t>
      </w:r>
      <w:r>
        <w:rPr>
          <w:rFonts w:ascii="Arial" w:hAnsi="Arial"/>
          <w:color w:val="334155"/>
          <w:sz w:val="20"/>
        </w:rPr>
        <w:t xml:space="preserve"> Stringent ASIC compliance requires unambiguous display of general advice warnings, AFSL disclosure, and risk warnings across all touchpoints.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172A"/>
          <w:sz w:val="36"/>
        </w:rPr>
        <w:t>4. Implemented Solution Architecture</w:t>
      </w:r>
    </w:p>
    <w:p>
      <w:pPr>
        <w:spacing w:after="120" w:line="276" w:lineRule="auto"/>
      </w:pPr>
      <w:r>
        <w:rPr>
          <w:rFonts w:ascii="Arial" w:hAnsi="Arial"/>
          <w:i w:val="0"/>
          <w:color w:val="334155"/>
          <w:sz w:val="20"/>
        </w:rPr>
        <w:t>To resolve these challenges, our team engineered a modern, cloud-native web platform combining real-time financial market data pipelines, bespoke generative AI financial assistants, and institutional-grade charting libraries:</w:t>
      </w:r>
    </w:p>
    <w:p>
      <w:pPr>
        <w:pStyle w:val="ListBullet"/>
        <w:spacing w:after="60" w:line="276" w:lineRule="auto"/>
      </w:pPr>
      <w:r>
        <w:t>1. Interactive Trading Checker AI Assistant: Domain-specific conversational AI engine trained on financial market terminology, corporate earnings, and technical indicators.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2. AI Stock Analysis &amp; Plain-English Verdicts:</w:t>
      </w:r>
      <w:r>
        <w:rPr>
          <w:rFonts w:ascii="Arial" w:hAnsi="Arial"/>
          <w:color w:val="334155"/>
          <w:sz w:val="20"/>
        </w:rPr>
        <w:t xml:space="preserve"> Automated plain-English executive summaries highlighting fundamental strengths, valuation risks, technical momentum, and consensus ratings.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3. Proprietary Charting (KapChart / KapStudies):</w:t>
      </w:r>
      <w:r>
        <w:rPr>
          <w:rFonts w:ascii="Arial" w:hAnsi="Arial"/>
          <w:color w:val="334155"/>
          <w:sz w:val="20"/>
        </w:rPr>
        <w:t xml:space="preserve"> Native HTML5 canvas and SVG charting engine enabling subscribers to plot multi-timeframe candlestick charts and technical indicators directly on-site.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4. Side-by-Side Comparative Analyzer:</w:t>
      </w:r>
      <w:r>
        <w:rPr>
          <w:rFonts w:ascii="Arial" w:hAnsi="Arial"/>
          <w:color w:val="334155"/>
          <w:sz w:val="20"/>
        </w:rPr>
        <w:t xml:space="preserve"> Dynamic tool that pits two or more tickers against each other across P/E ratios, dividend yield, debt-to-equity, and automated AI comparative verdicts.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5. AI Portfolio Snapshot:</w:t>
      </w:r>
      <w:r>
        <w:rPr>
          <w:rFonts w:ascii="Arial" w:hAnsi="Arial"/>
          <w:color w:val="334155"/>
          <w:sz w:val="20"/>
        </w:rPr>
        <w:t xml:space="preserve"> Secure module allowing investors to enter portfolio holdings to visualize asset allocation, sector concentration, and automated risk diagnostics.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172A"/>
          <w:sz w:val="36"/>
        </w:rPr>
        <w:t>5. Visual System Tour — Actual Implemented Screens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E293B"/>
          <w:sz w:val="28"/>
        </w:rPr>
        <w:t>Screen 1: Home Portal &amp; Market Intelligence Gateway</w:t>
      </w:r>
    </w:p>
    <w:p>
      <w:pPr>
        <w:spacing w:after="120" w:line="276" w:lineRule="auto"/>
      </w:pPr>
      <w:r>
        <w:rPr>
          <w:rFonts w:ascii="Arial" w:hAnsi="Arial"/>
          <w:i w:val="0"/>
          <w:color w:val="334155"/>
          <w:sz w:val="20"/>
        </w:rPr>
        <w:t>The main landing portal provides immediate market orientation with live ASX ticker ribbons, macro indices, top daily gainers/losers, and a prominent multi-asset search bar covering Australian and international equities.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9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pitales_screen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t>Figure 1: Trading Checker Project homepage showcasing the primary navigation, live market banner, search engine for ASX stocks, and free trial lead acquisition.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E293B"/>
          <w:sz w:val="28"/>
        </w:rPr>
        <w:t>Screen 2: Market Trending &amp; Real-Time Security Search</w:t>
      </w:r>
    </w:p>
    <w:p>
      <w:pPr>
        <w:spacing w:after="120" w:line="276" w:lineRule="auto"/>
      </w:pPr>
      <w:r>
        <w:rPr>
          <w:rFonts w:ascii="Arial" w:hAnsi="Arial"/>
          <w:i w:val="0"/>
          <w:color w:val="334155"/>
          <w:sz w:val="20"/>
        </w:rPr>
        <w:t>An intelligent search and discovery interface that categorizes market momentum across companies, research reports, and breaking market articles, allowing investors to track trending ASX securities in real time.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91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pitales_screen_tren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hAnsi="Arial"/>
          <w:i/>
          <w:color w:val="6E6E6E"/>
          <w:sz w:val="17"/>
        </w:rPr>
        <w:t>Figure 2: Real-time trending securities and intelligent search dropdown categorizing live market updates across companies, analyst reports, and news.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E293B"/>
          <w:sz w:val="28"/>
        </w:rPr>
        <w:t>Screen 3: The AI Hub &amp; Automated Stock Analysis Engine</w:t>
      </w:r>
    </w:p>
    <w:p>
      <w:pPr>
        <w:spacing w:after="120" w:line="276" w:lineRule="auto"/>
      </w:pPr>
      <w:r>
        <w:t>The centerpiece of the digital transformation: an AI-driven research center featuring Trading Checker AI, automated plain-English stock verdicts, and fundamental factor breakdowns that deconstruct complex balance sheets into actionable insights.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91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pitales_screen_ai_hu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hAnsi="Arial"/>
          <w:i/>
          <w:color w:val="6E6E6E"/>
          <w:sz w:val="17"/>
        </w:rPr>
        <w:t>Figure 3: AI Hub interface demonstrating conversational stock assistant capabilities, automated investment verdicts, and plain-English financial reasoning.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E293B"/>
          <w:sz w:val="28"/>
        </w:rPr>
        <w:t>Screen 4: Side-by-Side Stock Comparator</w:t>
      </w:r>
    </w:p>
    <w:p>
      <w:pPr>
        <w:spacing w:after="120" w:line="276" w:lineRule="auto"/>
      </w:pPr>
      <w:r>
        <w:rPr>
          <w:rFonts w:ascii="Arial" w:hAnsi="Arial"/>
          <w:i w:val="0"/>
          <w:color w:val="334155"/>
          <w:sz w:val="20"/>
        </w:rPr>
        <w:t>An intuitive comparison tool allowing investors to evaluate peer companies simultaneously, comparing key valuation multiples, technical momentum, dividend yields, and consensus analyst ratings.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91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pitales_screen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hAnsi="Arial"/>
          <w:i/>
          <w:color w:val="6E6E6E"/>
          <w:sz w:val="17"/>
        </w:rPr>
        <w:t>Figure 4: Side-by-side equity comparison engine displaying comparative fundamentals, sector benchmarks, and automated AI summary verdict.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E293B"/>
          <w:sz w:val="28"/>
        </w:rPr>
        <w:t>Screen 5: Specialized Research Products &amp; Institutional Reports</w:t>
      </w:r>
    </w:p>
    <w:p>
      <w:pPr>
        <w:spacing w:after="120" w:line="276" w:lineRule="auto"/>
      </w:pPr>
      <w:r>
        <w:rPr>
          <w:rFonts w:ascii="Arial" w:hAnsi="Arial"/>
          <w:i w:val="0"/>
          <w:color w:val="334155"/>
          <w:sz w:val="20"/>
        </w:rPr>
        <w:t>The subscription product catalog showcasing institutional-grade thematic publications, including the ASX 300 Recommendations, Daily Dose, Small Cap Shooters, and critical minerals research.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91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pitales_screen_re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hAnsi="Arial"/>
          <w:i/>
          <w:color w:val="6E6E6E"/>
          <w:sz w:val="17"/>
        </w:rPr>
        <w:t>Figure 5: In-depth research report interface outlining investment thesis, target price horizons, risk factors, and financial model projections.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172A"/>
          <w:sz w:val="36"/>
        </w:rPr>
        <w:t>6. Measured Business Impact &amp; Results</w:t>
      </w:r>
    </w:p>
    <w:p>
      <w:pPr>
        <w:spacing w:after="120" w:line="276" w:lineRule="auto"/>
      </w:pPr>
      <w:r>
        <w:t>Following the rollout of the modernized digital platform, Trading Checker achieved substantial improvements across user acquisition, engagement, and operational efficiency: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• 300%+ Session Duration Growth:</w:t>
      </w:r>
      <w:r>
        <w:rPr>
          <w:rFonts w:ascii="Arial" w:hAnsi="Arial"/>
          <w:color w:val="334155"/>
          <w:sz w:val="20"/>
        </w:rPr>
        <w:t xml:space="preserve"> Average daily active session time grew by over 300% (from 2.1m to 8.4m) as subscribers transitioned from reading passive PDFs to actively querying the AI Assistant.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• 65% Faster Research Turnaround:</w:t>
      </w:r>
      <w:r>
        <w:rPr>
          <w:rFonts w:ascii="Arial" w:hAnsi="Arial"/>
          <w:color w:val="334155"/>
          <w:sz w:val="20"/>
        </w:rPr>
        <w:t xml:space="preserve"> The automated data ingestion and chart-rendering tools reduced the time required for equity analysts to publish flash earnings updates from 4 hours to under 45 minutes.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• 42% Free-to-Paid Conversion Uplift:</w:t>
      </w:r>
      <w:r>
        <w:rPr>
          <w:rFonts w:ascii="Arial" w:hAnsi="Arial"/>
          <w:color w:val="334155"/>
          <w:sz w:val="20"/>
        </w:rPr>
        <w:t xml:space="preserve"> Real-time trending tickers and transparent AI verdicts created a high-converting top-of-funnel experience, driving a 42% increase in paid annual subscriptions.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>• 74% Customer Inquiries Automated:</w:t>
      </w:r>
      <w:r>
        <w:rPr>
          <w:rFonts w:ascii="Arial" w:hAnsi="Arial"/>
          <w:color w:val="334155"/>
          <w:sz w:val="20"/>
        </w:rPr>
        <w:t xml:space="preserve"> The conversational AI engine successfully answered 74% of common stock inquiries instantly, significantly reducing customer support ticket volumes.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