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5AE0F" w14:textId="77777777" w:rsidR="00F2424B" w:rsidRDefault="00000000" w:rsidP="00431AC0">
      <w:pPr>
        <w:spacing w:before="59" w:after="0" w:line="379" w:lineRule="auto"/>
        <w:ind w:right="-28" w:firstLine="49"/>
        <w:jc w:val="center"/>
        <w:rPr>
          <w:rFonts w:eastAsia="Times New Roman" w:cs="Times New Roman"/>
          <w:sz w:val="24"/>
          <w:szCs w:val="24"/>
        </w:rPr>
      </w:pPr>
      <w:r>
        <w:rPr>
          <w:rFonts w:eastAsia="Times New Roman" w:cs="Times New Roman"/>
          <w:sz w:val="24"/>
          <w:szCs w:val="24"/>
        </w:rPr>
        <w:t>A</w:t>
      </w:r>
      <w:r>
        <w:rPr>
          <w:rFonts w:eastAsia="Times New Roman" w:cs="Times New Roman"/>
          <w:spacing w:val="-15"/>
          <w:sz w:val="24"/>
          <w:szCs w:val="24"/>
        </w:rPr>
        <w:t xml:space="preserve"> </w:t>
      </w:r>
      <w:r>
        <w:rPr>
          <w:rFonts w:eastAsia="Times New Roman" w:cs="Times New Roman"/>
          <w:w w:val="109"/>
          <w:sz w:val="24"/>
          <w:szCs w:val="24"/>
        </w:rPr>
        <w:t>P</w:t>
      </w:r>
      <w:r w:rsidR="003F3E67">
        <w:rPr>
          <w:rFonts w:eastAsia="Times New Roman" w:cs="Times New Roman"/>
          <w:w w:val="109"/>
          <w:sz w:val="24"/>
          <w:szCs w:val="24"/>
        </w:rPr>
        <w:t xml:space="preserve">roject </w:t>
      </w:r>
      <w:r w:rsidR="003A3929">
        <w:rPr>
          <w:rFonts w:eastAsia="Times New Roman" w:cs="Times New Roman"/>
          <w:w w:val="109"/>
          <w:sz w:val="24"/>
          <w:szCs w:val="24"/>
        </w:rPr>
        <w:t xml:space="preserve">Report </w:t>
      </w:r>
      <w:r w:rsidR="003F3E67">
        <w:rPr>
          <w:rFonts w:eastAsia="Times New Roman" w:cs="Times New Roman"/>
          <w:w w:val="103"/>
          <w:sz w:val="24"/>
          <w:szCs w:val="24"/>
        </w:rPr>
        <w:t>on</w:t>
      </w:r>
    </w:p>
    <w:p w14:paraId="42A344A6" w14:textId="77777777" w:rsidR="00F2424B" w:rsidRPr="0065081C" w:rsidRDefault="00000000" w:rsidP="00431AC0">
      <w:pPr>
        <w:spacing w:before="3" w:after="0" w:line="240" w:lineRule="auto"/>
        <w:ind w:right="-28" w:firstLine="49"/>
        <w:jc w:val="center"/>
        <w:rPr>
          <w:rFonts w:eastAsia="Times New Roman" w:cs="Times New Roman"/>
          <w:b/>
          <w:bCs/>
          <w:color w:val="EE0000"/>
          <w:sz w:val="32"/>
          <w:szCs w:val="32"/>
        </w:rPr>
      </w:pPr>
      <w:r>
        <w:rPr>
          <w:b/>
          <w:color w:val="A02323"/>
          <w:sz w:val="30"/>
        </w:rPr>
        <w:t>UNCERTAINTY-AWARE GRAPH NEURAL NETWORK FOR DYNAMIC NOMA USER GROUPING UNDER IMPERFECT CSI</w:t>
      </w:r>
    </w:p>
    <w:p w14:paraId="0C8D6DEC" w14:textId="77777777" w:rsidR="00F2424B" w:rsidRDefault="00F2424B" w:rsidP="00431AC0">
      <w:pPr>
        <w:spacing w:before="16" w:after="0" w:line="260" w:lineRule="exact"/>
        <w:ind w:right="-28" w:firstLine="49"/>
        <w:rPr>
          <w:sz w:val="26"/>
          <w:szCs w:val="26"/>
        </w:rPr>
      </w:pPr>
    </w:p>
    <w:p w14:paraId="28BEB381" w14:textId="77777777" w:rsidR="00F2424B" w:rsidRDefault="003A3929" w:rsidP="00431AC0">
      <w:pPr>
        <w:spacing w:after="0" w:line="240" w:lineRule="auto"/>
        <w:ind w:right="-28" w:firstLine="49"/>
        <w:jc w:val="center"/>
        <w:rPr>
          <w:rFonts w:eastAsia="Times New Roman" w:cs="Times New Roman"/>
          <w:sz w:val="24"/>
          <w:szCs w:val="24"/>
        </w:rPr>
      </w:pPr>
      <w:r w:rsidRPr="003A3929">
        <w:rPr>
          <w:rFonts w:eastAsia="Times New Roman" w:cs="Times New Roman"/>
          <w:sz w:val="24"/>
          <w:szCs w:val="24"/>
        </w:rPr>
        <w:t>submitted in partial fulfilment of the requirements for the course</w:t>
      </w:r>
    </w:p>
    <w:p w14:paraId="36F91B41" w14:textId="77777777" w:rsidR="00F2424B" w:rsidRDefault="00F2424B" w:rsidP="00431AC0">
      <w:pPr>
        <w:spacing w:before="16" w:after="0" w:line="260" w:lineRule="exact"/>
        <w:ind w:right="-28" w:firstLine="49"/>
        <w:rPr>
          <w:sz w:val="26"/>
          <w:szCs w:val="26"/>
        </w:rPr>
      </w:pPr>
    </w:p>
    <w:p w14:paraId="0D9759B8" w14:textId="77777777" w:rsidR="00F2424B" w:rsidRPr="0065081C" w:rsidRDefault="00000000" w:rsidP="00431AC0">
      <w:pPr>
        <w:spacing w:after="0" w:line="240" w:lineRule="auto"/>
        <w:ind w:right="-28" w:firstLine="49"/>
        <w:jc w:val="center"/>
        <w:rPr>
          <w:rFonts w:eastAsia="Times New Roman" w:cs="Times New Roman"/>
          <w:b/>
          <w:bCs/>
          <w:color w:val="0070C0"/>
          <w:sz w:val="32"/>
          <w:szCs w:val="32"/>
        </w:rPr>
      </w:pPr>
      <w:r w:rsidRPr="0065081C">
        <w:rPr>
          <w:rFonts w:eastAsia="Times New Roman" w:cs="Times New Roman"/>
          <w:b/>
          <w:bCs/>
          <w:color w:val="0070C0"/>
          <w:sz w:val="32"/>
          <w:szCs w:val="32"/>
        </w:rPr>
        <w:t>M</w:t>
      </w:r>
      <w:r w:rsidRPr="0065081C">
        <w:rPr>
          <w:rFonts w:eastAsia="Times New Roman" w:cs="Times New Roman"/>
          <w:b/>
          <w:bCs/>
          <w:color w:val="0070C0"/>
          <w:spacing w:val="3"/>
          <w:sz w:val="32"/>
          <w:szCs w:val="32"/>
        </w:rPr>
        <w:t>A</w:t>
      </w:r>
      <w:r w:rsidRPr="0065081C">
        <w:rPr>
          <w:rFonts w:eastAsia="Times New Roman" w:cs="Times New Roman"/>
          <w:b/>
          <w:bCs/>
          <w:color w:val="0070C0"/>
          <w:sz w:val="32"/>
          <w:szCs w:val="32"/>
        </w:rPr>
        <w:t>C</w:t>
      </w:r>
      <w:r w:rsidRPr="0065081C">
        <w:rPr>
          <w:rFonts w:eastAsia="Times New Roman" w:cs="Times New Roman"/>
          <w:b/>
          <w:bCs/>
          <w:color w:val="0070C0"/>
          <w:spacing w:val="-2"/>
          <w:sz w:val="32"/>
          <w:szCs w:val="32"/>
        </w:rPr>
        <w:t>H</w:t>
      </w:r>
      <w:r w:rsidRPr="0065081C">
        <w:rPr>
          <w:rFonts w:eastAsia="Times New Roman" w:cs="Times New Roman"/>
          <w:b/>
          <w:bCs/>
          <w:color w:val="0070C0"/>
          <w:sz w:val="32"/>
          <w:szCs w:val="32"/>
        </w:rPr>
        <w:t>I</w:t>
      </w:r>
      <w:r w:rsidRPr="0065081C">
        <w:rPr>
          <w:rFonts w:eastAsia="Times New Roman" w:cs="Times New Roman"/>
          <w:b/>
          <w:bCs/>
          <w:color w:val="0070C0"/>
          <w:spacing w:val="3"/>
          <w:sz w:val="32"/>
          <w:szCs w:val="32"/>
        </w:rPr>
        <w:t>N</w:t>
      </w:r>
      <w:r w:rsidRPr="0065081C">
        <w:rPr>
          <w:rFonts w:eastAsia="Times New Roman" w:cs="Times New Roman"/>
          <w:b/>
          <w:bCs/>
          <w:color w:val="0070C0"/>
          <w:sz w:val="32"/>
          <w:szCs w:val="32"/>
        </w:rPr>
        <w:t>E</w:t>
      </w:r>
      <w:r w:rsidRPr="0065081C">
        <w:rPr>
          <w:rFonts w:eastAsia="Times New Roman" w:cs="Times New Roman"/>
          <w:b/>
          <w:bCs/>
          <w:color w:val="0070C0"/>
          <w:spacing w:val="74"/>
          <w:sz w:val="32"/>
          <w:szCs w:val="32"/>
        </w:rPr>
        <w:t xml:space="preserve"> </w:t>
      </w:r>
      <w:r w:rsidRPr="0065081C">
        <w:rPr>
          <w:rFonts w:eastAsia="Times New Roman" w:cs="Times New Roman"/>
          <w:b/>
          <w:bCs/>
          <w:color w:val="0070C0"/>
          <w:w w:val="108"/>
          <w:sz w:val="32"/>
          <w:szCs w:val="32"/>
        </w:rPr>
        <w:t>L</w:t>
      </w:r>
      <w:r w:rsidRPr="0065081C">
        <w:rPr>
          <w:rFonts w:eastAsia="Times New Roman" w:cs="Times New Roman"/>
          <w:b/>
          <w:bCs/>
          <w:color w:val="0070C0"/>
          <w:spacing w:val="4"/>
          <w:w w:val="108"/>
          <w:sz w:val="32"/>
          <w:szCs w:val="32"/>
        </w:rPr>
        <w:t>E</w:t>
      </w:r>
      <w:r w:rsidRPr="0065081C">
        <w:rPr>
          <w:rFonts w:eastAsia="Times New Roman" w:cs="Times New Roman"/>
          <w:b/>
          <w:bCs/>
          <w:color w:val="0070C0"/>
          <w:spacing w:val="3"/>
          <w:w w:val="99"/>
          <w:sz w:val="32"/>
          <w:szCs w:val="32"/>
        </w:rPr>
        <w:t>A</w:t>
      </w:r>
      <w:r w:rsidRPr="0065081C">
        <w:rPr>
          <w:rFonts w:eastAsia="Times New Roman" w:cs="Times New Roman"/>
          <w:b/>
          <w:bCs/>
          <w:color w:val="0070C0"/>
          <w:w w:val="107"/>
          <w:sz w:val="32"/>
          <w:szCs w:val="32"/>
        </w:rPr>
        <w:t>R</w:t>
      </w:r>
      <w:r w:rsidRPr="0065081C">
        <w:rPr>
          <w:rFonts w:eastAsia="Times New Roman" w:cs="Times New Roman"/>
          <w:b/>
          <w:bCs/>
          <w:color w:val="0070C0"/>
          <w:w w:val="99"/>
          <w:sz w:val="32"/>
          <w:szCs w:val="32"/>
        </w:rPr>
        <w:t>N</w:t>
      </w:r>
      <w:r w:rsidRPr="0065081C">
        <w:rPr>
          <w:rFonts w:eastAsia="Times New Roman" w:cs="Times New Roman"/>
          <w:b/>
          <w:bCs/>
          <w:color w:val="0070C0"/>
          <w:w w:val="116"/>
          <w:sz w:val="32"/>
          <w:szCs w:val="32"/>
        </w:rPr>
        <w:t>I</w:t>
      </w:r>
      <w:r w:rsidRPr="0065081C">
        <w:rPr>
          <w:rFonts w:eastAsia="Times New Roman" w:cs="Times New Roman"/>
          <w:b/>
          <w:bCs/>
          <w:color w:val="0070C0"/>
          <w:spacing w:val="3"/>
          <w:w w:val="99"/>
          <w:sz w:val="32"/>
          <w:szCs w:val="32"/>
        </w:rPr>
        <w:t>N</w:t>
      </w:r>
      <w:r w:rsidRPr="0065081C">
        <w:rPr>
          <w:rFonts w:eastAsia="Times New Roman" w:cs="Times New Roman"/>
          <w:b/>
          <w:bCs/>
          <w:color w:val="0070C0"/>
          <w:w w:val="107"/>
          <w:sz w:val="32"/>
          <w:szCs w:val="32"/>
        </w:rPr>
        <w:t>G</w:t>
      </w:r>
    </w:p>
    <w:p w14:paraId="025997CD" w14:textId="77777777" w:rsidR="00431AC0" w:rsidRDefault="00431AC0" w:rsidP="00431AC0">
      <w:pPr>
        <w:spacing w:after="0" w:line="240" w:lineRule="auto"/>
        <w:ind w:right="-28" w:firstLine="49"/>
        <w:jc w:val="center"/>
        <w:rPr>
          <w:rFonts w:eastAsia="Times New Roman" w:cs="Times New Roman"/>
          <w:sz w:val="32"/>
          <w:szCs w:val="32"/>
        </w:rPr>
      </w:pPr>
      <w:r w:rsidRPr="0065081C">
        <w:rPr>
          <w:rFonts w:eastAsia="Times New Roman" w:cs="Times New Roman"/>
          <w:b/>
          <w:bCs/>
          <w:color w:val="0070C0"/>
          <w:sz w:val="32"/>
          <w:szCs w:val="32"/>
        </w:rPr>
        <w:t>25SC2107E</w:t>
      </w:r>
    </w:p>
    <w:p w14:paraId="4221508A" w14:textId="77777777" w:rsidR="00F2424B" w:rsidRDefault="00F2424B" w:rsidP="00431AC0">
      <w:pPr>
        <w:spacing w:after="0" w:line="160" w:lineRule="exact"/>
        <w:ind w:right="-28" w:firstLine="49"/>
        <w:rPr>
          <w:sz w:val="16"/>
          <w:szCs w:val="16"/>
        </w:rPr>
      </w:pPr>
    </w:p>
    <w:p w14:paraId="131B9967" w14:textId="77777777" w:rsidR="00F2424B" w:rsidRDefault="00000000" w:rsidP="00431AC0">
      <w:pPr>
        <w:spacing w:after="0" w:line="240" w:lineRule="auto"/>
        <w:ind w:right="-28" w:firstLine="49"/>
        <w:jc w:val="center"/>
        <w:rPr>
          <w:rFonts w:eastAsia="Times New Roman" w:cs="Times New Roman"/>
          <w:sz w:val="24"/>
          <w:szCs w:val="24"/>
        </w:rPr>
      </w:pPr>
      <w:r>
        <w:rPr>
          <w:rFonts w:eastAsia="Times New Roman" w:cs="Times New Roman"/>
          <w:w w:val="99"/>
          <w:sz w:val="24"/>
          <w:szCs w:val="24"/>
        </w:rPr>
        <w:t>i</w:t>
      </w:r>
      <w:r>
        <w:rPr>
          <w:rFonts w:eastAsia="Times New Roman" w:cs="Times New Roman"/>
          <w:w w:val="110"/>
          <w:sz w:val="24"/>
          <w:szCs w:val="24"/>
        </w:rPr>
        <w:t>n</w:t>
      </w:r>
    </w:p>
    <w:p w14:paraId="24D8B1AD" w14:textId="77777777" w:rsidR="00F2424B" w:rsidRDefault="00F2424B" w:rsidP="00431AC0">
      <w:pPr>
        <w:spacing w:before="1" w:after="0" w:line="160" w:lineRule="exact"/>
        <w:ind w:right="-28" w:firstLine="49"/>
        <w:rPr>
          <w:sz w:val="16"/>
          <w:szCs w:val="16"/>
        </w:rPr>
      </w:pPr>
    </w:p>
    <w:p w14:paraId="28250899" w14:textId="77777777" w:rsidR="00F2424B" w:rsidRPr="00431AC0" w:rsidRDefault="00000000" w:rsidP="00431AC0">
      <w:pPr>
        <w:spacing w:after="0" w:line="240" w:lineRule="auto"/>
        <w:ind w:right="-28" w:firstLine="49"/>
        <w:jc w:val="center"/>
        <w:rPr>
          <w:rFonts w:eastAsia="Times New Roman" w:cs="Times New Roman"/>
          <w:sz w:val="28"/>
          <w:szCs w:val="28"/>
        </w:rPr>
      </w:pPr>
      <w:r w:rsidRPr="00431AC0">
        <w:rPr>
          <w:rFonts w:eastAsia="Times New Roman" w:cs="Times New Roman"/>
          <w:sz w:val="28"/>
          <w:szCs w:val="28"/>
        </w:rPr>
        <w:t>A.</w:t>
      </w:r>
      <w:r w:rsidRPr="00431AC0">
        <w:rPr>
          <w:rFonts w:eastAsia="Times New Roman" w:cs="Times New Roman"/>
          <w:spacing w:val="-22"/>
          <w:sz w:val="28"/>
          <w:szCs w:val="28"/>
        </w:rPr>
        <w:t>Y</w:t>
      </w:r>
      <w:r w:rsidRPr="00431AC0">
        <w:rPr>
          <w:rFonts w:eastAsia="Times New Roman" w:cs="Times New Roman"/>
          <w:sz w:val="28"/>
          <w:szCs w:val="28"/>
        </w:rPr>
        <w:t>.:</w:t>
      </w:r>
      <w:r w:rsidRPr="00431AC0">
        <w:rPr>
          <w:rFonts w:eastAsia="Times New Roman" w:cs="Times New Roman"/>
          <w:spacing w:val="8"/>
          <w:sz w:val="28"/>
          <w:szCs w:val="28"/>
        </w:rPr>
        <w:t xml:space="preserve"> </w:t>
      </w:r>
      <w:r w:rsidRPr="00431AC0">
        <w:rPr>
          <w:rFonts w:eastAsia="Times New Roman" w:cs="Times New Roman"/>
          <w:w w:val="99"/>
          <w:sz w:val="28"/>
          <w:szCs w:val="28"/>
        </w:rPr>
        <w:t>2026-</w:t>
      </w:r>
      <w:r w:rsidRPr="00431AC0">
        <w:rPr>
          <w:rFonts w:eastAsia="Times New Roman" w:cs="Times New Roman"/>
          <w:spacing w:val="-2"/>
          <w:w w:val="99"/>
          <w:sz w:val="28"/>
          <w:szCs w:val="28"/>
        </w:rPr>
        <w:t>2</w:t>
      </w:r>
      <w:r w:rsidRPr="00431AC0">
        <w:rPr>
          <w:rFonts w:eastAsia="Times New Roman" w:cs="Times New Roman"/>
          <w:w w:val="99"/>
          <w:sz w:val="28"/>
          <w:szCs w:val="28"/>
        </w:rPr>
        <w:t>7</w:t>
      </w:r>
    </w:p>
    <w:p w14:paraId="2FC7ABC0" w14:textId="77777777" w:rsidR="00F2424B" w:rsidRDefault="00F2424B" w:rsidP="00431AC0">
      <w:pPr>
        <w:spacing w:before="1" w:after="0" w:line="190" w:lineRule="exact"/>
        <w:ind w:right="-28" w:firstLine="49"/>
        <w:rPr>
          <w:sz w:val="19"/>
          <w:szCs w:val="19"/>
        </w:rPr>
      </w:pPr>
    </w:p>
    <w:p w14:paraId="1A14BA3F" w14:textId="77777777" w:rsidR="00F2424B" w:rsidRDefault="00F2424B" w:rsidP="00431AC0">
      <w:pPr>
        <w:spacing w:after="0" w:line="200" w:lineRule="exact"/>
        <w:ind w:right="-28" w:firstLine="49"/>
        <w:rPr>
          <w:sz w:val="20"/>
          <w:szCs w:val="20"/>
        </w:rPr>
      </w:pPr>
    </w:p>
    <w:p w14:paraId="2839C008" w14:textId="77777777" w:rsidR="00F2424B" w:rsidRDefault="00000000" w:rsidP="00431AC0">
      <w:pPr>
        <w:spacing w:after="0" w:line="240" w:lineRule="auto"/>
        <w:ind w:right="-28" w:firstLine="49"/>
        <w:jc w:val="center"/>
        <w:rPr>
          <w:rFonts w:eastAsia="Times New Roman" w:cs="Times New Roman"/>
          <w:sz w:val="24"/>
          <w:szCs w:val="24"/>
        </w:rPr>
      </w:pPr>
      <w:r>
        <w:rPr>
          <w:rFonts w:eastAsia="Times New Roman" w:cs="Times New Roman"/>
          <w:w w:val="110"/>
          <w:sz w:val="24"/>
          <w:szCs w:val="24"/>
        </w:rPr>
        <w:t>b</w:t>
      </w:r>
      <w:r>
        <w:rPr>
          <w:rFonts w:eastAsia="Times New Roman" w:cs="Times New Roman"/>
          <w:w w:val="99"/>
          <w:sz w:val="24"/>
          <w:szCs w:val="24"/>
        </w:rPr>
        <w:t>y</w:t>
      </w:r>
    </w:p>
    <w:p w14:paraId="4A88AEC6" w14:textId="77777777" w:rsidR="00F2424B" w:rsidRDefault="00F2424B" w:rsidP="00431AC0">
      <w:pPr>
        <w:spacing w:before="1" w:after="0" w:line="280" w:lineRule="exact"/>
        <w:ind w:right="-28" w:firstLine="49"/>
        <w:rPr>
          <w:sz w:val="28"/>
          <w:szCs w:val="28"/>
        </w:rPr>
      </w:pPr>
    </w:p>
    <w:p w14:paraId="78A5C0C9" w14:textId="7F1C4911" w:rsidR="00F2424B" w:rsidRPr="0065081C" w:rsidRDefault="00B35B3C" w:rsidP="00431AC0">
      <w:pPr>
        <w:tabs>
          <w:tab w:val="left" w:pos="5700"/>
        </w:tabs>
        <w:spacing w:after="0" w:line="240" w:lineRule="auto"/>
        <w:ind w:right="-28" w:firstLine="49"/>
        <w:jc w:val="center"/>
        <w:rPr>
          <w:rFonts w:eastAsia="Times New Roman" w:cs="Times New Roman"/>
          <w:b/>
          <w:bCs/>
          <w:color w:val="984806" w:themeColor="accent6" w:themeShade="80"/>
          <w:sz w:val="28"/>
          <w:szCs w:val="28"/>
        </w:rPr>
      </w:pPr>
      <w:r>
        <w:rPr>
          <w:b/>
        </w:rPr>
        <w:t>Rahul Bodduna</w:t>
      </w:r>
      <w:r w:rsidR="00000000">
        <w:tab/>
        <w:t>Roll No. 25200400</w:t>
      </w:r>
      <w:r>
        <w:t>02</w:t>
      </w:r>
    </w:p>
    <w:p w14:paraId="09E1DD94" w14:textId="77777777" w:rsidR="00F2424B" w:rsidRPr="0065081C" w:rsidRDefault="00F2424B" w:rsidP="00431AC0">
      <w:pPr>
        <w:spacing w:before="18" w:after="0" w:line="260" w:lineRule="exact"/>
        <w:ind w:right="-28" w:firstLine="49"/>
        <w:jc w:val="center"/>
        <w:rPr>
          <w:b/>
          <w:bCs/>
          <w:color w:val="984806" w:themeColor="accent6" w:themeShade="80"/>
          <w:sz w:val="28"/>
          <w:szCs w:val="28"/>
        </w:rPr>
      </w:pPr>
    </w:p>
    <w:p w14:paraId="38FE224D" w14:textId="07AE84D6" w:rsidR="00F2424B" w:rsidRPr="0065081C" w:rsidRDefault="00B35B3C" w:rsidP="00431AC0">
      <w:pPr>
        <w:tabs>
          <w:tab w:val="left" w:pos="5700"/>
        </w:tabs>
        <w:spacing w:after="0" w:line="240" w:lineRule="auto"/>
        <w:ind w:right="-28" w:firstLine="49"/>
        <w:jc w:val="center"/>
        <w:rPr>
          <w:rFonts w:eastAsia="Times New Roman" w:cs="Times New Roman"/>
          <w:b/>
          <w:bCs/>
          <w:color w:val="984806" w:themeColor="accent6" w:themeShade="80"/>
          <w:w w:val="99"/>
          <w:sz w:val="28"/>
          <w:szCs w:val="28"/>
        </w:rPr>
      </w:pPr>
      <w:r>
        <w:rPr>
          <w:b/>
        </w:rPr>
        <w:t>Harishwar Reddy Mogiligari</w:t>
      </w:r>
      <w:r w:rsidR="00000000">
        <w:tab/>
        <w:t>Roll No. 25200400</w:t>
      </w:r>
      <w:r>
        <w:t>15</w:t>
      </w:r>
    </w:p>
    <w:p w14:paraId="0876ABE8" w14:textId="77777777" w:rsidR="00431AC0" w:rsidRPr="0065081C" w:rsidRDefault="00431AC0" w:rsidP="00431AC0">
      <w:pPr>
        <w:tabs>
          <w:tab w:val="left" w:pos="5700"/>
        </w:tabs>
        <w:spacing w:after="0" w:line="240" w:lineRule="auto"/>
        <w:ind w:right="-28" w:firstLine="49"/>
        <w:jc w:val="center"/>
        <w:rPr>
          <w:rFonts w:eastAsia="Times New Roman" w:cs="Times New Roman"/>
          <w:b/>
          <w:bCs/>
          <w:color w:val="984806" w:themeColor="accent6" w:themeShade="80"/>
          <w:w w:val="99"/>
          <w:sz w:val="28"/>
          <w:szCs w:val="28"/>
        </w:rPr>
      </w:pPr>
    </w:p>
    <w:p w14:paraId="4BADA525" w14:textId="77777777" w:rsidR="00431AC0" w:rsidRPr="0065081C" w:rsidRDefault="00431AC0" w:rsidP="00431AC0">
      <w:pPr>
        <w:tabs>
          <w:tab w:val="left" w:pos="5700"/>
        </w:tabs>
        <w:spacing w:after="0" w:line="240" w:lineRule="auto"/>
        <w:ind w:right="-28" w:firstLine="49"/>
        <w:jc w:val="center"/>
        <w:rPr>
          <w:rFonts w:eastAsia="Times New Roman" w:cs="Times New Roman"/>
          <w:b/>
          <w:bCs/>
          <w:color w:val="984806" w:themeColor="accent6" w:themeShade="80"/>
          <w:sz w:val="28"/>
          <w:szCs w:val="28"/>
        </w:rPr>
      </w:pPr>
      <w:r>
        <w:rPr>
          <w:b/>
        </w:rPr>
        <w:t>Akshay Boppudi</w:t>
      </w:r>
      <w:r>
        <w:tab/>
        <w:t>Roll No. 2520040029</w:t>
      </w:r>
    </w:p>
    <w:p w14:paraId="5FA54951" w14:textId="77777777" w:rsidR="00431AC0" w:rsidRDefault="00431AC0" w:rsidP="00431AC0">
      <w:pPr>
        <w:tabs>
          <w:tab w:val="left" w:pos="5700"/>
        </w:tabs>
        <w:spacing w:after="0" w:line="240" w:lineRule="auto"/>
        <w:ind w:right="-28" w:firstLine="49"/>
        <w:jc w:val="center"/>
        <w:rPr>
          <w:rFonts w:eastAsia="Times New Roman" w:cs="Times New Roman"/>
          <w:sz w:val="24"/>
          <w:szCs w:val="24"/>
        </w:rPr>
      </w:pPr>
    </w:p>
    <w:p w14:paraId="62FA9033" w14:textId="77777777" w:rsidR="00F2424B" w:rsidRDefault="00F2424B" w:rsidP="00431AC0">
      <w:pPr>
        <w:spacing w:before="15" w:after="0" w:line="280" w:lineRule="exact"/>
        <w:ind w:right="-28" w:firstLine="49"/>
        <w:rPr>
          <w:sz w:val="28"/>
          <w:szCs w:val="28"/>
        </w:rPr>
      </w:pPr>
    </w:p>
    <w:p w14:paraId="417AE452" w14:textId="77777777" w:rsidR="00F2424B" w:rsidRDefault="00000000" w:rsidP="00431AC0">
      <w:pPr>
        <w:spacing w:after="0" w:line="240" w:lineRule="auto"/>
        <w:ind w:right="-28" w:firstLine="49"/>
        <w:jc w:val="center"/>
        <w:rPr>
          <w:rFonts w:eastAsia="Times New Roman" w:cs="Times New Roman"/>
          <w:sz w:val="24"/>
          <w:szCs w:val="24"/>
        </w:rPr>
      </w:pPr>
      <w:r>
        <w:rPr>
          <w:rFonts w:eastAsia="Times New Roman" w:cs="Times New Roman"/>
          <w:sz w:val="24"/>
          <w:szCs w:val="24"/>
        </w:rPr>
        <w:t>Under</w:t>
      </w:r>
      <w:r>
        <w:rPr>
          <w:rFonts w:eastAsia="Times New Roman" w:cs="Times New Roman"/>
          <w:spacing w:val="21"/>
          <w:sz w:val="24"/>
          <w:szCs w:val="24"/>
        </w:rPr>
        <w:t xml:space="preserve"> </w:t>
      </w:r>
      <w:r>
        <w:rPr>
          <w:rFonts w:eastAsia="Times New Roman" w:cs="Times New Roman"/>
          <w:sz w:val="24"/>
          <w:szCs w:val="24"/>
        </w:rPr>
        <w:t>the</w:t>
      </w:r>
      <w:r>
        <w:rPr>
          <w:rFonts w:eastAsia="Times New Roman" w:cs="Times New Roman"/>
          <w:spacing w:val="12"/>
          <w:sz w:val="24"/>
          <w:szCs w:val="24"/>
        </w:rPr>
        <w:t xml:space="preserve"> </w:t>
      </w:r>
      <w:r>
        <w:rPr>
          <w:rFonts w:eastAsia="Times New Roman" w:cs="Times New Roman"/>
          <w:sz w:val="24"/>
          <w:szCs w:val="24"/>
        </w:rPr>
        <w:t>Esteemed</w:t>
      </w:r>
      <w:r>
        <w:rPr>
          <w:rFonts w:eastAsia="Times New Roman" w:cs="Times New Roman"/>
          <w:spacing w:val="1"/>
          <w:sz w:val="24"/>
          <w:szCs w:val="24"/>
        </w:rPr>
        <w:t xml:space="preserve"> </w:t>
      </w:r>
      <w:r>
        <w:rPr>
          <w:rFonts w:eastAsia="Times New Roman" w:cs="Times New Roman"/>
          <w:sz w:val="24"/>
          <w:szCs w:val="24"/>
        </w:rPr>
        <w:t>gu</w:t>
      </w:r>
      <w:r>
        <w:rPr>
          <w:rFonts w:eastAsia="Times New Roman" w:cs="Times New Roman"/>
          <w:spacing w:val="3"/>
          <w:sz w:val="24"/>
          <w:szCs w:val="24"/>
        </w:rPr>
        <w:t>i</w:t>
      </w:r>
      <w:r>
        <w:rPr>
          <w:rFonts w:eastAsia="Times New Roman" w:cs="Times New Roman"/>
          <w:sz w:val="24"/>
          <w:szCs w:val="24"/>
        </w:rPr>
        <w:t>dance</w:t>
      </w:r>
      <w:r>
        <w:rPr>
          <w:rFonts w:eastAsia="Times New Roman" w:cs="Times New Roman"/>
          <w:spacing w:val="30"/>
          <w:sz w:val="24"/>
          <w:szCs w:val="24"/>
        </w:rPr>
        <w:t xml:space="preserve"> </w:t>
      </w:r>
      <w:r>
        <w:rPr>
          <w:rFonts w:eastAsia="Times New Roman" w:cs="Times New Roman"/>
          <w:spacing w:val="2"/>
          <w:w w:val="99"/>
          <w:sz w:val="24"/>
          <w:szCs w:val="24"/>
        </w:rPr>
        <w:t>o</w:t>
      </w:r>
      <w:r>
        <w:rPr>
          <w:rFonts w:eastAsia="Times New Roman" w:cs="Times New Roman"/>
          <w:w w:val="99"/>
          <w:sz w:val="24"/>
          <w:szCs w:val="24"/>
        </w:rPr>
        <w:t>f</w:t>
      </w:r>
    </w:p>
    <w:p w14:paraId="2295F7EE" w14:textId="77777777" w:rsidR="00F2424B" w:rsidRDefault="00F2424B" w:rsidP="00431AC0">
      <w:pPr>
        <w:spacing w:before="1" w:after="0" w:line="160" w:lineRule="exact"/>
        <w:ind w:right="-28" w:firstLine="49"/>
        <w:rPr>
          <w:sz w:val="16"/>
          <w:szCs w:val="16"/>
        </w:rPr>
      </w:pPr>
    </w:p>
    <w:p w14:paraId="6E552CA4" w14:textId="77777777" w:rsidR="00F2424B" w:rsidRPr="0065081C" w:rsidRDefault="00431AC0" w:rsidP="00431AC0">
      <w:pPr>
        <w:spacing w:after="0" w:line="240" w:lineRule="auto"/>
        <w:ind w:right="-28" w:firstLine="49"/>
        <w:jc w:val="center"/>
        <w:rPr>
          <w:rFonts w:eastAsia="Times New Roman" w:cs="Times New Roman"/>
          <w:b/>
          <w:bCs/>
          <w:color w:val="0070C0"/>
          <w:sz w:val="32"/>
          <w:szCs w:val="32"/>
        </w:rPr>
      </w:pPr>
      <w:r w:rsidRPr="0065081C">
        <w:rPr>
          <w:rFonts w:eastAsia="Times New Roman" w:cs="Times New Roman"/>
          <w:b/>
          <w:bCs/>
          <w:color w:val="0070C0"/>
          <w:spacing w:val="-1"/>
          <w:sz w:val="32"/>
          <w:szCs w:val="32"/>
        </w:rPr>
        <w:t>Mr. N Lava Prasad</w:t>
      </w:r>
    </w:p>
    <w:p w14:paraId="549E7ED9" w14:textId="77777777" w:rsidR="00F2424B" w:rsidRPr="00431AC0" w:rsidRDefault="00F2424B" w:rsidP="00431AC0">
      <w:pPr>
        <w:spacing w:before="8" w:after="0" w:line="150" w:lineRule="exact"/>
        <w:ind w:right="-28" w:firstLine="49"/>
        <w:rPr>
          <w:sz w:val="32"/>
          <w:szCs w:val="32"/>
        </w:rPr>
      </w:pPr>
    </w:p>
    <w:p w14:paraId="5F751AA1" w14:textId="77777777" w:rsidR="00F2424B" w:rsidRPr="0065081C" w:rsidRDefault="00431AC0" w:rsidP="00431AC0">
      <w:pPr>
        <w:spacing w:after="0" w:line="240" w:lineRule="auto"/>
        <w:ind w:right="-28" w:firstLine="49"/>
        <w:jc w:val="center"/>
        <w:rPr>
          <w:rFonts w:eastAsia="Times New Roman" w:cs="Times New Roman"/>
          <w:color w:val="0070C0"/>
          <w:sz w:val="28"/>
          <w:szCs w:val="28"/>
        </w:rPr>
      </w:pPr>
      <w:r w:rsidRPr="0065081C">
        <w:rPr>
          <w:rFonts w:eastAsia="Times New Roman" w:cs="Times New Roman"/>
          <w:color w:val="0070C0"/>
          <w:spacing w:val="-1"/>
          <w:sz w:val="28"/>
          <w:szCs w:val="28"/>
        </w:rPr>
        <w:t>Assistant Professor,</w:t>
      </w:r>
    </w:p>
    <w:p w14:paraId="2A8B7D7D" w14:textId="77777777" w:rsidR="00F2424B" w:rsidRPr="0065081C" w:rsidRDefault="00F2424B" w:rsidP="00431AC0">
      <w:pPr>
        <w:spacing w:before="3" w:after="0" w:line="160" w:lineRule="exact"/>
        <w:ind w:right="-28" w:firstLine="49"/>
        <w:rPr>
          <w:color w:val="0070C0"/>
          <w:sz w:val="32"/>
          <w:szCs w:val="32"/>
        </w:rPr>
      </w:pPr>
    </w:p>
    <w:p w14:paraId="4459E692" w14:textId="77777777" w:rsidR="00F2424B" w:rsidRPr="00431AC0" w:rsidRDefault="00431AC0" w:rsidP="00431AC0">
      <w:pPr>
        <w:spacing w:after="0" w:line="240" w:lineRule="auto"/>
        <w:ind w:right="-28" w:firstLine="49"/>
        <w:jc w:val="center"/>
        <w:rPr>
          <w:rFonts w:eastAsia="Times New Roman" w:cs="Times New Roman"/>
          <w:b/>
          <w:bCs/>
          <w:sz w:val="32"/>
          <w:szCs w:val="32"/>
        </w:rPr>
      </w:pPr>
      <w:r w:rsidRPr="0065081C">
        <w:rPr>
          <w:rFonts w:eastAsia="Times New Roman" w:cs="Times New Roman"/>
          <w:b/>
          <w:bCs/>
          <w:color w:val="0070C0"/>
          <w:w w:val="105"/>
          <w:sz w:val="32"/>
          <w:szCs w:val="32"/>
        </w:rPr>
        <w:t>Department of ECE</w:t>
      </w:r>
    </w:p>
    <w:p w14:paraId="47EF57CA" w14:textId="77777777" w:rsidR="00F2424B" w:rsidRDefault="00F2424B" w:rsidP="00431AC0">
      <w:pPr>
        <w:spacing w:before="2" w:after="0" w:line="110" w:lineRule="exact"/>
        <w:ind w:right="-28" w:firstLine="49"/>
        <w:rPr>
          <w:sz w:val="11"/>
          <w:szCs w:val="11"/>
        </w:rPr>
      </w:pPr>
    </w:p>
    <w:p w14:paraId="4407B7AD" w14:textId="77777777" w:rsidR="00F2424B" w:rsidRDefault="00F2424B" w:rsidP="00431AC0">
      <w:pPr>
        <w:spacing w:after="0" w:line="200" w:lineRule="exact"/>
        <w:ind w:right="-28" w:firstLine="49"/>
        <w:rPr>
          <w:sz w:val="20"/>
          <w:szCs w:val="20"/>
        </w:rPr>
      </w:pPr>
    </w:p>
    <w:p w14:paraId="771E32C6" w14:textId="77777777" w:rsidR="00F2424B" w:rsidRDefault="00B35B3C" w:rsidP="00431AC0">
      <w:pPr>
        <w:spacing w:after="0" w:line="240" w:lineRule="auto"/>
        <w:ind w:right="-28" w:firstLine="49"/>
        <w:jc w:val="center"/>
        <w:rPr>
          <w:rFonts w:eastAsia="Times New Roman" w:cs="Times New Roman"/>
          <w:sz w:val="20"/>
          <w:szCs w:val="20"/>
        </w:rPr>
      </w:pPr>
      <w:r>
        <w:pict w14:anchorId="168F3C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8pt;height:115.8pt;mso-position-horizontal-relative:char;mso-position-vertical-relative:line">
            <v:imagedata r:id="rId7" o:title=""/>
          </v:shape>
        </w:pict>
      </w:r>
    </w:p>
    <w:p w14:paraId="5C8EC858" w14:textId="77777777" w:rsidR="00F2424B" w:rsidRDefault="00F2424B" w:rsidP="00431AC0">
      <w:pPr>
        <w:spacing w:before="1" w:after="0" w:line="130" w:lineRule="exact"/>
        <w:ind w:right="-28" w:firstLine="49"/>
        <w:rPr>
          <w:sz w:val="13"/>
          <w:szCs w:val="13"/>
        </w:rPr>
      </w:pPr>
    </w:p>
    <w:p w14:paraId="6CA8BFE4" w14:textId="77777777" w:rsidR="00F2424B" w:rsidRDefault="00F2424B" w:rsidP="00431AC0">
      <w:pPr>
        <w:spacing w:after="0" w:line="200" w:lineRule="exact"/>
        <w:ind w:right="-28" w:firstLine="49"/>
        <w:rPr>
          <w:sz w:val="20"/>
          <w:szCs w:val="20"/>
        </w:rPr>
      </w:pPr>
    </w:p>
    <w:p w14:paraId="20D68B8F" w14:textId="77777777" w:rsidR="00F2424B" w:rsidRDefault="00B35B3C" w:rsidP="00431AC0">
      <w:pPr>
        <w:spacing w:after="0" w:line="240" w:lineRule="auto"/>
        <w:ind w:left="-567" w:right="-28" w:firstLine="49"/>
        <w:jc w:val="center"/>
        <w:rPr>
          <w:rFonts w:eastAsia="Times New Roman" w:cs="Times New Roman"/>
          <w:sz w:val="20"/>
          <w:szCs w:val="20"/>
        </w:rPr>
      </w:pPr>
      <w:r>
        <w:pict w14:anchorId="100DBD8D">
          <v:shape id="_x0000_i1026" type="#_x0000_t75" style="width:533.4pt;height:78pt;mso-position-horizontal-relative:char;mso-position-vertical-relative:line">
            <v:imagedata r:id="rId8" o:title=""/>
          </v:shape>
        </w:pict>
      </w:r>
    </w:p>
    <w:p w14:paraId="61B4BEFE" w14:textId="77777777" w:rsidR="00F2424B" w:rsidRDefault="00F2424B" w:rsidP="00431AC0">
      <w:pPr>
        <w:spacing w:after="0"/>
        <w:ind w:right="-28" w:firstLine="49"/>
        <w:sectPr w:rsidR="00F2424B">
          <w:footerReference w:type="default" r:id="rId9"/>
          <w:type w:val="continuous"/>
          <w:pgSz w:w="12240" w:h="15840"/>
          <w:pgMar w:top="1037" w:right="1181" w:bottom="1037" w:left="1181" w:header="720" w:footer="720" w:gutter="0"/>
          <w:cols w:space="720"/>
        </w:sectPr>
      </w:pPr>
    </w:p>
    <w:p w14:paraId="6E101281" w14:textId="77777777" w:rsidR="00F2424B" w:rsidRDefault="00F2424B" w:rsidP="00431AC0">
      <w:pPr>
        <w:spacing w:after="0" w:line="100" w:lineRule="exact"/>
        <w:ind w:right="-28" w:firstLine="49"/>
        <w:rPr>
          <w:sz w:val="10"/>
          <w:szCs w:val="10"/>
        </w:rPr>
      </w:pPr>
    </w:p>
    <w:p w14:paraId="79A2BED8" w14:textId="77777777" w:rsidR="00F2424B" w:rsidRDefault="00B35B3C" w:rsidP="00431AC0">
      <w:pPr>
        <w:spacing w:after="0" w:line="240" w:lineRule="auto"/>
        <w:ind w:right="-28" w:firstLine="49"/>
        <w:rPr>
          <w:rFonts w:eastAsia="Times New Roman" w:cs="Times New Roman"/>
          <w:sz w:val="20"/>
          <w:szCs w:val="20"/>
        </w:rPr>
      </w:pPr>
      <w:r>
        <w:pict w14:anchorId="7A2D742E">
          <v:shape id="_x0000_i1027" type="#_x0000_t75" style="width:502.2pt;height:63.6pt;mso-position-horizontal-relative:char;mso-position-vertical-relative:line">
            <v:imagedata r:id="rId8" o:title=""/>
          </v:shape>
        </w:pict>
      </w:r>
    </w:p>
    <w:p w14:paraId="73805888" w14:textId="77777777" w:rsidR="00F2424B" w:rsidRDefault="00F2424B" w:rsidP="00431AC0">
      <w:pPr>
        <w:spacing w:after="0" w:line="120" w:lineRule="exact"/>
        <w:ind w:right="-28" w:firstLine="49"/>
        <w:rPr>
          <w:sz w:val="12"/>
          <w:szCs w:val="12"/>
        </w:rPr>
      </w:pPr>
    </w:p>
    <w:p w14:paraId="1DD1412F" w14:textId="77777777" w:rsidR="00F2424B" w:rsidRDefault="00F2424B" w:rsidP="00431AC0">
      <w:pPr>
        <w:spacing w:after="0" w:line="200" w:lineRule="exact"/>
        <w:ind w:right="-28" w:firstLine="49"/>
        <w:rPr>
          <w:sz w:val="20"/>
          <w:szCs w:val="20"/>
        </w:rPr>
      </w:pPr>
    </w:p>
    <w:p w14:paraId="7FBE7193" w14:textId="77777777" w:rsidR="00F2424B" w:rsidRDefault="00F2424B" w:rsidP="00431AC0">
      <w:pPr>
        <w:spacing w:after="0" w:line="200" w:lineRule="exact"/>
        <w:ind w:right="-28" w:firstLine="49"/>
        <w:rPr>
          <w:sz w:val="20"/>
          <w:szCs w:val="20"/>
        </w:rPr>
      </w:pPr>
    </w:p>
    <w:p w14:paraId="48181BDF" w14:textId="77777777" w:rsidR="00A63807" w:rsidRDefault="00000000">
      <w:r>
        <w:br w:type="page"/>
      </w:r>
    </w:p>
    <w:p w14:paraId="5FF2236F" w14:textId="77777777" w:rsidR="00A63807" w:rsidRDefault="00000000">
      <w:pPr>
        <w:pStyle w:val="Heading11"/>
        <w:keepNext/>
      </w:pPr>
      <w:r>
        <w:lastRenderedPageBreak/>
        <w:t>TECHNICAL PROGRESS REPORT</w:t>
      </w:r>
    </w:p>
    <w:p w14:paraId="674648F7" w14:textId="77777777" w:rsidR="00A63807" w:rsidRDefault="00000000">
      <w:pPr>
        <w:pStyle w:val="Heading11"/>
        <w:keepNext/>
      </w:pPr>
      <w:r>
        <w:t>UNCERTAINTY-AWARE GRAPH NEURAL NETWORK FOR DYNAMIC NOMA USER GROUPING UNDER IMPERFECT CSI</w:t>
      </w:r>
    </w:p>
    <w:p w14:paraId="0E6A1E4D" w14:textId="77777777" w:rsidR="00A63807" w:rsidRDefault="00000000">
      <w:pPr>
        <w:spacing w:after="100" w:line="259" w:lineRule="auto"/>
      </w:pPr>
      <w:r>
        <w:t>Subtitle: A Semi-Supervised Graph Learning Framework for Robust User Grouping in Beyond-5G and 6G Wireless Networks</w:t>
      </w:r>
    </w:p>
    <w:p w14:paraId="18191909" w14:textId="77777777" w:rsidR="00A63807" w:rsidRDefault="00000000">
      <w:pPr>
        <w:spacing w:after="100" w:line="259" w:lineRule="auto"/>
      </w:pPr>
      <w:r>
        <w:t>Author: Akshay Boppudi</w:t>
      </w:r>
    </w:p>
    <w:p w14:paraId="15E2366E" w14:textId="77777777" w:rsidR="00A63807" w:rsidRDefault="00000000">
      <w:pPr>
        <w:spacing w:after="100" w:line="259" w:lineRule="auto"/>
      </w:pPr>
      <w:r>
        <w:t>Affiliation: Department of Electronics &amp; Communication Engineering</w:t>
      </w:r>
    </w:p>
    <w:p w14:paraId="224ECA5E" w14:textId="77777777" w:rsidR="00A63807" w:rsidRDefault="00000000">
      <w:pPr>
        <w:spacing w:after="100" w:line="259" w:lineRule="auto"/>
      </w:pPr>
      <w:r>
        <w:t>Course: Machine Learning (25SC2107E) | Academic Year: 2026–27</w:t>
      </w:r>
    </w:p>
    <w:p w14:paraId="43B638A9" w14:textId="77777777" w:rsidR="00A63807" w:rsidRDefault="00000000">
      <w:pPr>
        <w:spacing w:after="100" w:line="259" w:lineRule="auto"/>
      </w:pPr>
      <w:r>
        <w:t>Supervisor: Mr. N Lava Prasad, Assistant Professor</w:t>
      </w:r>
    </w:p>
    <w:p w14:paraId="40A8944B" w14:textId="77777777" w:rsidR="00A63807" w:rsidRDefault="00000000">
      <w:pPr>
        <w:spacing w:after="100" w:line="259" w:lineRule="auto"/>
      </w:pPr>
      <w:r>
        <w:t>Staged delivery: Front matter and Chapters 1–3. Chapters 4–8 will be added in the requested continuation stages.</w:t>
      </w:r>
    </w:p>
    <w:p w14:paraId="1E4DE67A" w14:textId="77777777" w:rsidR="00A63807" w:rsidRDefault="00000000">
      <w:pPr>
        <w:pStyle w:val="Heading11"/>
        <w:keepNext/>
      </w:pPr>
      <w:r>
        <w:t>EXECUTIVE ABSTRACT</w:t>
      </w:r>
    </w:p>
    <w:p w14:paraId="2D8F9902" w14:textId="77777777" w:rsidR="00A63807" w:rsidRDefault="00000000">
      <w:pPr>
        <w:spacing w:after="100" w:line="259" w:lineRule="auto"/>
      </w:pPr>
      <w:r>
        <w:t>Beyond-fifth-generation (B5G) and sixth-generation (6G) wireless systems are expected to support dense connectivity, heterogeneous service requirements, and increasingly dynamic radio environments. Power-domain non-orthogonal multiple access (NOMA) is one approach to improving resource reuse by allowing multiple users to share a time-frequency resource and separating their signals through receiver processing. Its practical performance depends in part on selecting compatible users for each NOMA group. Yet grouping decisions are made using channel state information (CSI) that is imperfect because of estimation noise, channel variation, Doppler effects, and feedback delay. A method that treats all channel estimates as equally reliable can learn brittle user relationships and make unstable group assignments.</w:t>
      </w:r>
    </w:p>
    <w:p w14:paraId="78EDAE86" w14:textId="77777777" w:rsidR="00A63807" w:rsidRDefault="00000000">
      <w:pPr>
        <w:spacing w:after="100" w:line="259" w:lineRule="auto"/>
      </w:pPr>
      <w:r>
        <w:t>The project develops a Python-based, uncertainty-aware graph neural network (GNN) for dynamic NOMA user grouping. Each wireless scenario is represented as a graph: users are nodes, and edges encode channel similarity or spatial proximity. Node features include channel gain, signal-to-noise ratio (SNR), distance, real and imaginary channel components, and a CSI-uncertainty feature derived from the squared magnitude of the difference between true and estimated complex CSI. Feature scaling is fitted exclusively on training scenarios to avoid leakage. GraphSAGE is the default backbone, with graph convolutional networks (GCN) and graph attention networks (GAT) supported for comparison.</w:t>
      </w:r>
    </w:p>
    <w:p w14:paraId="514D51D9" w14:textId="77777777" w:rsidR="00A63807" w:rsidRDefault="00000000">
      <w:pPr>
        <w:spacing w:after="100" w:line="259" w:lineRule="auto"/>
      </w:pPr>
      <w:r>
        <w:t>The learning objective combines masked cross-entropy on labeled nodes, dual-perturbation consistency regularization, and confidence-/uncertainty-aware pseudo-labeling. Unlabeled graph views are formed using 15% stochastic edge dropping and 10% feature masking. A pseudo-label is accepted only when its maximum Softmax probability is at least 0.90 and its CSI uncertainty is below a configured threshold. Predicted group identifiers are aligned to reference labels using the Hungarian assignment algorithm before classification metrics are computed.</w:t>
      </w:r>
    </w:p>
    <w:p w14:paraId="1E49E5C0" w14:textId="77777777" w:rsidR="00A63807" w:rsidRDefault="00000000">
      <w:pPr>
        <w:spacing w:after="100" w:line="259" w:lineRule="auto"/>
      </w:pPr>
      <w:r>
        <w:t>On the supplied evaluation set of 2,000 users across 100 scenarios and four groups, the reported overall test accuracy is 75.60%, macro-precision 75.71%, macro-recall 75.60%, and macro-F1 75.31%. Group 1 achieves the strongest F1 score (90.17%), while Groups 2 and 3 show more confusion, consistent with less separable intermediate classes. Label-efficiency accuracy increases from 61.67% at 5% labeled data to 73.67% at 20%, with lower values at 30% and 50%, indicating that additional labels do not guarantee monotonic gains and that run variability and training configuration require further investigation. The present stage establishes the network context, mathematical foundations, and data-engineering architecture. Power allocation, successive interference cancellation (SIC), SINR, and sum-rate evaluation remain explicitly decoupled downstream tasks.</w:t>
      </w:r>
    </w:p>
    <w:p w14:paraId="13FFAA27" w14:textId="77777777" w:rsidR="00A63807" w:rsidRDefault="00000000">
      <w:pPr>
        <w:spacing w:after="100" w:line="259" w:lineRule="auto"/>
      </w:pPr>
      <w:r>
        <w:t>Keywords: NOMA; imperfect CSI; CSI uncertainty; graph neural networks; GraphSAGE; semi-supervised learning; consistency regularization; pseudo-labeling.</w:t>
      </w:r>
    </w:p>
    <w:p w14:paraId="522F64DF" w14:textId="77777777" w:rsidR="00A63807" w:rsidRDefault="00000000">
      <w:pPr>
        <w:pStyle w:val="Heading11"/>
        <w:keepNext/>
      </w:pPr>
      <w:r>
        <w:lastRenderedPageBreak/>
        <w:t>TABLE OF CONTENTS</w:t>
      </w:r>
    </w:p>
    <w:p w14:paraId="7F3D9C85" w14:textId="77777777" w:rsidR="00A63807" w:rsidRDefault="00000000">
      <w:pPr>
        <w:spacing w:after="100" w:line="259" w:lineRule="auto"/>
      </w:pPr>
      <w:r>
        <w:t>Executive Abstract</w:t>
      </w:r>
    </w:p>
    <w:p w14:paraId="79AA8E87" w14:textId="77777777" w:rsidR="00A63807" w:rsidRDefault="00000000">
      <w:pPr>
        <w:spacing w:after="100" w:line="259" w:lineRule="auto"/>
      </w:pPr>
      <w:r>
        <w:t>List of Figures</w:t>
      </w:r>
    </w:p>
    <w:p w14:paraId="1F2AC6C2" w14:textId="77777777" w:rsidR="00A63807" w:rsidRDefault="00000000">
      <w:pPr>
        <w:spacing w:after="100" w:line="259" w:lineRule="auto"/>
      </w:pPr>
      <w:r>
        <w:t>List of Tables</w:t>
      </w:r>
    </w:p>
    <w:p w14:paraId="4717C1BD" w14:textId="77777777" w:rsidR="00A63807" w:rsidRDefault="00000000">
      <w:pPr>
        <w:spacing w:after="100" w:line="259" w:lineRule="auto"/>
      </w:pPr>
      <w:r>
        <w:t>Chapter 1 — Introduction &amp; Problem Context</w:t>
      </w:r>
    </w:p>
    <w:p w14:paraId="75705183" w14:textId="77777777" w:rsidR="00A63807" w:rsidRDefault="00000000">
      <w:pPr>
        <w:spacing w:after="100" w:line="259" w:lineRule="auto"/>
      </w:pPr>
      <w:r>
        <w:t xml:space="preserve">  1.1 Evolution of B5G and 6G Cellular Networks &amp; Spectral Efficiency Demands</w:t>
      </w:r>
    </w:p>
    <w:p w14:paraId="70F41755" w14:textId="77777777" w:rsidR="00A63807" w:rsidRDefault="00000000">
      <w:pPr>
        <w:spacing w:after="100" w:line="259" w:lineRule="auto"/>
      </w:pPr>
      <w:r>
        <w:t xml:space="preserve">  1.2 Fundamental Principles of Power-Domain NOMA</w:t>
      </w:r>
    </w:p>
    <w:p w14:paraId="5F3004C0" w14:textId="77777777" w:rsidR="00A63807" w:rsidRDefault="00000000">
      <w:pPr>
        <w:spacing w:after="100" w:line="259" w:lineRule="auto"/>
      </w:pPr>
      <w:r>
        <w:t xml:space="preserve">  1.3 The Critical Need for Dynamic User Grouping &amp; Cluster Formation</w:t>
      </w:r>
    </w:p>
    <w:p w14:paraId="503310BE" w14:textId="77777777" w:rsidR="00A63807" w:rsidRDefault="00000000">
      <w:pPr>
        <w:spacing w:after="100" w:line="259" w:lineRule="auto"/>
      </w:pPr>
      <w:r>
        <w:t xml:space="preserve">  1.4 The Problem of Imperfect CSI in Real-World Wireless Channels</w:t>
      </w:r>
    </w:p>
    <w:p w14:paraId="52161E71" w14:textId="77777777" w:rsidR="00A63807" w:rsidRDefault="00000000">
      <w:pPr>
        <w:spacing w:after="100" w:line="259" w:lineRule="auto"/>
      </w:pPr>
      <w:r>
        <w:t xml:space="preserve">  1.5 Research Questions, Core Hypotheses &amp; Scope Boundaries</w:t>
      </w:r>
    </w:p>
    <w:p w14:paraId="359AB197" w14:textId="77777777" w:rsidR="00A63807" w:rsidRDefault="00000000">
      <w:pPr>
        <w:spacing w:after="100" w:line="259" w:lineRule="auto"/>
      </w:pPr>
      <w:r>
        <w:t>Chapter 2 — Theoretical Foundations &amp; Mathematical Modeling</w:t>
      </w:r>
    </w:p>
    <w:p w14:paraId="0A9BADD9" w14:textId="77777777" w:rsidR="00A63807" w:rsidRDefault="00000000">
      <w:pPr>
        <w:spacing w:after="100" w:line="259" w:lineRule="auto"/>
      </w:pPr>
      <w:r>
        <w:t xml:space="preserve">  2.1 Cellular Channel Modeling: Rayleigh Fading, Path Loss, and SNR</w:t>
      </w:r>
    </w:p>
    <w:p w14:paraId="116915F5" w14:textId="77777777" w:rsidR="00A63807" w:rsidRDefault="00000000">
      <w:pPr>
        <w:spacing w:after="100" w:line="259" w:lineRule="auto"/>
      </w:pPr>
      <w:r>
        <w:t xml:space="preserve">  2.2 Channel Estimation Error and CSI Uncertainty</w:t>
      </w:r>
    </w:p>
    <w:p w14:paraId="077C0D5B" w14:textId="77777777" w:rsidR="00A63807" w:rsidRDefault="00000000">
      <w:pPr>
        <w:spacing w:after="100" w:line="259" w:lineRule="auto"/>
      </w:pPr>
      <w:r>
        <w:t xml:space="preserve">  2.3 Graph Formulation of Wireless Cellular Topologies</w:t>
      </w:r>
    </w:p>
    <w:p w14:paraId="3D191C1F" w14:textId="77777777" w:rsidR="00A63807" w:rsidRDefault="00000000">
      <w:pPr>
        <w:spacing w:after="100" w:line="259" w:lineRule="auto"/>
      </w:pPr>
      <w:r>
        <w:t xml:space="preserve">  2.4 Graph Neural Network Mechanics: GraphSAGE, GCN, and GAT</w:t>
      </w:r>
    </w:p>
    <w:p w14:paraId="0758B6B8" w14:textId="77777777" w:rsidR="00A63807" w:rsidRDefault="00000000">
      <w:pPr>
        <w:spacing w:after="100" w:line="259" w:lineRule="auto"/>
      </w:pPr>
      <w:r>
        <w:t xml:space="preserve">  2.5 Theoretical Basis for Semi-Supervised Learning</w:t>
      </w:r>
    </w:p>
    <w:p w14:paraId="71666212" w14:textId="77777777" w:rsidR="00A63807" w:rsidRDefault="00000000">
      <w:pPr>
        <w:spacing w:after="100" w:line="259" w:lineRule="auto"/>
      </w:pPr>
      <w:r>
        <w:t>Chapter 3 — System Architecture &amp; Data Engineering Pipeline</w:t>
      </w:r>
    </w:p>
    <w:p w14:paraId="7FCD3356" w14:textId="77777777" w:rsidR="00A63807" w:rsidRDefault="00000000">
      <w:pPr>
        <w:spacing w:after="100" w:line="259" w:lineRule="auto"/>
      </w:pPr>
      <w:r>
        <w:t xml:space="preserve">  3.1 End-to-End System Pipeline</w:t>
      </w:r>
    </w:p>
    <w:p w14:paraId="7E377289" w14:textId="77777777" w:rsidR="00A63807" w:rsidRDefault="00000000">
      <w:pPr>
        <w:spacing w:after="100" w:line="259" w:lineRule="auto"/>
      </w:pPr>
      <w:r>
        <w:t xml:space="preserve">  3.2 Dataset Feature Extraction &amp; Preprocessing</w:t>
      </w:r>
    </w:p>
    <w:p w14:paraId="3031DB32" w14:textId="77777777" w:rsidR="00A63807" w:rsidRDefault="00000000">
      <w:pPr>
        <w:spacing w:after="100" w:line="259" w:lineRule="auto"/>
      </w:pPr>
      <w:r>
        <w:t xml:space="preserve">  3.3 Strict Isolation Protocols to Prevent Data Leakage</w:t>
      </w:r>
    </w:p>
    <w:p w14:paraId="03B2D686" w14:textId="77777777" w:rsidR="00A63807" w:rsidRDefault="00000000">
      <w:pPr>
        <w:spacing w:after="100" w:line="259" w:lineRule="auto"/>
      </w:pPr>
      <w:r>
        <w:t xml:space="preserve">  3.4 Graph Construction Framework</w:t>
      </w:r>
    </w:p>
    <w:p w14:paraId="7EDC7F7C" w14:textId="77777777" w:rsidR="00A63807" w:rsidRDefault="00000000">
      <w:pPr>
        <w:spacing w:after="100" w:line="259" w:lineRule="auto"/>
      </w:pPr>
      <w:r>
        <w:t xml:space="preserve">  3.5 PyTorch Geometric Data Formulation</w:t>
      </w:r>
    </w:p>
    <w:p w14:paraId="6C13A9B6" w14:textId="77777777" w:rsidR="00A63807" w:rsidRDefault="00000000">
      <w:pPr>
        <w:spacing w:after="100" w:line="259" w:lineRule="auto"/>
      </w:pPr>
      <w:r>
        <w:t>Chapters 4–8 — To be added in continuation stages</w:t>
      </w:r>
    </w:p>
    <w:p w14:paraId="49629A16" w14:textId="77777777" w:rsidR="00A63807" w:rsidRDefault="00000000">
      <w:pPr>
        <w:pStyle w:val="Heading11"/>
        <w:keepNext/>
      </w:pPr>
      <w:r>
        <w:t>LIST OF FIGURES</w:t>
      </w:r>
    </w:p>
    <w:p w14:paraId="66BE1847" w14:textId="77777777" w:rsidR="00A63807" w:rsidRDefault="00000000">
      <w:pPr>
        <w:pStyle w:val="ListBullet1"/>
        <w:spacing w:after="40"/>
      </w:pPr>
      <w:r>
        <w:t>Figure 1.1. Conceptual power-domain NOMA downlink with multiple users sharing a resource.</w:t>
      </w:r>
    </w:p>
    <w:p w14:paraId="25B65747" w14:textId="77777777" w:rsidR="00A63807" w:rsidRDefault="00000000">
      <w:pPr>
        <w:pStyle w:val="ListBullet1"/>
        <w:spacing w:after="40"/>
      </w:pPr>
      <w:r>
        <w:t>Figure 1.2. Research boundary between the GNN grouping core and downstream physical-layer evaluation.</w:t>
      </w:r>
    </w:p>
    <w:p w14:paraId="5F3EFF74" w14:textId="77777777" w:rsidR="00A63807" w:rsidRDefault="00000000">
      <w:pPr>
        <w:pStyle w:val="ListBullet1"/>
        <w:spacing w:after="40"/>
      </w:pPr>
      <w:r>
        <w:t>Figure 2.1. Complex CSI estimation error and uncertainty derivation.</w:t>
      </w:r>
    </w:p>
    <w:p w14:paraId="0EDAFBFB" w14:textId="77777777" w:rsidR="00A63807" w:rsidRDefault="00000000">
      <w:pPr>
        <w:pStyle w:val="ListBullet1"/>
        <w:spacing w:after="40"/>
      </w:pPr>
      <w:r>
        <w:t>Figure 2.2. Graph representation of users and weighted inter-user relationships.</w:t>
      </w:r>
    </w:p>
    <w:p w14:paraId="020182CF" w14:textId="77777777" w:rsidR="00A63807" w:rsidRDefault="00000000">
      <w:pPr>
        <w:pStyle w:val="ListBullet1"/>
        <w:spacing w:after="40"/>
      </w:pPr>
      <w:r>
        <w:t>Figure 2.3. Message-passing abstractions for GraphSAGE, GCN, and GAT.</w:t>
      </w:r>
    </w:p>
    <w:p w14:paraId="0F0402A3" w14:textId="77777777" w:rsidR="00A63807" w:rsidRDefault="00000000">
      <w:pPr>
        <w:pStyle w:val="ListBullet1"/>
        <w:spacing w:after="40"/>
      </w:pPr>
      <w:r>
        <w:t>Figure 3.1. End-to-end project pipeline from scenario features to prediction artifacts.</w:t>
      </w:r>
    </w:p>
    <w:p w14:paraId="27E5ECFA" w14:textId="77777777" w:rsidR="00A63807" w:rsidRDefault="00000000">
      <w:pPr>
        <w:pStyle w:val="ListBullet1"/>
        <w:spacing w:after="40"/>
      </w:pPr>
      <w:r>
        <w:t>Figure 3.2. Training-only scaling protocol and isolated evaluation partitions.</w:t>
      </w:r>
    </w:p>
    <w:p w14:paraId="3AC1016C" w14:textId="77777777" w:rsidR="00A63807" w:rsidRDefault="00000000">
      <w:pPr>
        <w:pStyle w:val="ListBullet1"/>
        <w:spacing w:after="40"/>
      </w:pPr>
      <w:r>
        <w:t>Figure 3.3. Illustrative k-NN, Gaussian-similarity, and fully connected graph topologies.</w:t>
      </w:r>
    </w:p>
    <w:p w14:paraId="19605478" w14:textId="77777777" w:rsidR="00A63807" w:rsidRDefault="00000000">
      <w:pPr>
        <w:pStyle w:val="Heading11"/>
        <w:keepNext/>
      </w:pPr>
      <w:r>
        <w:t>LIST OF TABLES</w:t>
      </w:r>
    </w:p>
    <w:p w14:paraId="1F9536F8" w14:textId="77777777" w:rsidR="00A63807" w:rsidRDefault="00000000">
      <w:pPr>
        <w:pStyle w:val="ListBullet1"/>
        <w:spacing w:after="40"/>
      </w:pPr>
      <w:r>
        <w:t>Table 1.1. NOMA benefits, requirements, and implementation challenges.</w:t>
      </w:r>
    </w:p>
    <w:p w14:paraId="3A6A847D" w14:textId="77777777" w:rsidR="00A63807" w:rsidRDefault="00000000">
      <w:pPr>
        <w:pStyle w:val="ListBullet1"/>
        <w:spacing w:after="40"/>
      </w:pPr>
      <w:r>
        <w:t>Table 1.2. Research questions, hypotheses, and evidence required.</w:t>
      </w:r>
    </w:p>
    <w:p w14:paraId="23697253" w14:textId="77777777" w:rsidR="00A63807" w:rsidRDefault="00000000">
      <w:pPr>
        <w:pStyle w:val="ListBullet1"/>
        <w:spacing w:after="40"/>
      </w:pPr>
      <w:r>
        <w:t>Table 2.1. Channel-model notation and physical interpretation.</w:t>
      </w:r>
    </w:p>
    <w:p w14:paraId="1F53957F" w14:textId="77777777" w:rsidR="00A63807" w:rsidRDefault="00000000">
      <w:pPr>
        <w:pStyle w:val="ListBullet1"/>
        <w:spacing w:after="40"/>
      </w:pPr>
      <w:r>
        <w:t>Table 2.2. CSI error and uncertainty quantities.</w:t>
      </w:r>
    </w:p>
    <w:p w14:paraId="649AFD94" w14:textId="77777777" w:rsidR="00A63807" w:rsidRDefault="00000000">
      <w:pPr>
        <w:pStyle w:val="ListBullet1"/>
        <w:spacing w:after="40"/>
      </w:pPr>
      <w:r>
        <w:lastRenderedPageBreak/>
        <w:t>Table 2.3. GraphSAGE, GCN, and GAT conceptual comparison.</w:t>
      </w:r>
    </w:p>
    <w:p w14:paraId="28FF0BCE" w14:textId="77777777" w:rsidR="00A63807" w:rsidRDefault="00000000">
      <w:pPr>
        <w:pStyle w:val="ListBullet1"/>
        <w:spacing w:after="40"/>
      </w:pPr>
      <w:r>
        <w:t>Table 3.1. Input feature schema and expected representation.</w:t>
      </w:r>
    </w:p>
    <w:p w14:paraId="5B74AD09" w14:textId="77777777" w:rsidR="00A63807" w:rsidRDefault="00000000">
      <w:pPr>
        <w:pStyle w:val="ListBullet1"/>
        <w:spacing w:after="40"/>
      </w:pPr>
      <w:r>
        <w:t>Table 3.2. Graph-construction alternatives and trade-offs.</w:t>
      </w:r>
    </w:p>
    <w:p w14:paraId="261F0BE3" w14:textId="77777777" w:rsidR="00A63807" w:rsidRDefault="00000000">
      <w:pPr>
        <w:pStyle w:val="ListBullet1"/>
        <w:spacing w:after="40"/>
      </w:pPr>
      <w:r>
        <w:t>Table 3.3. PyTorch Geometric graph object fields.</w:t>
      </w:r>
    </w:p>
    <w:p w14:paraId="1017C03C" w14:textId="77777777" w:rsidR="00A63807" w:rsidRDefault="00000000">
      <w:pPr>
        <w:pStyle w:val="ListBullet1"/>
        <w:spacing w:after="40"/>
      </w:pPr>
      <w:r>
        <w:t>Table 3.4. Leakage prevention controls and verification tests.</w:t>
      </w:r>
    </w:p>
    <w:p w14:paraId="7A367D2F" w14:textId="77777777" w:rsidR="00A63807" w:rsidRDefault="00000000">
      <w:pPr>
        <w:spacing w:after="100" w:line="259" w:lineRule="auto"/>
      </w:pPr>
      <w:r>
        <w:t>Pagination note: refresh page numbers and any automatic table of contents in Word after Chapters 4–8 are inserted and the document is fully paginated.</w:t>
      </w:r>
    </w:p>
    <w:p w14:paraId="176D678B" w14:textId="77777777" w:rsidR="00A63807" w:rsidRDefault="00000000">
      <w:r>
        <w:br w:type="page"/>
      </w:r>
    </w:p>
    <w:p w14:paraId="5B29EF86" w14:textId="77777777" w:rsidR="00A63807" w:rsidRDefault="00000000">
      <w:pPr>
        <w:pStyle w:val="Heading11"/>
        <w:keepNext/>
      </w:pPr>
      <w:r>
        <w:lastRenderedPageBreak/>
        <w:t>CHAPTER 1. INTRODUCTION &amp; PROBLEM CONTEXT</w:t>
      </w:r>
    </w:p>
    <w:p w14:paraId="72D6D213" w14:textId="77777777" w:rsidR="00A63807" w:rsidRDefault="00000000">
      <w:pPr>
        <w:pStyle w:val="Heading21"/>
        <w:keepNext/>
      </w:pPr>
      <w:r>
        <w:t>1.1 Evolution of B5G and 6G Cellular Networks &amp; Spectral Efficiency Demands</w:t>
      </w:r>
    </w:p>
    <w:p w14:paraId="36462068" w14:textId="77777777" w:rsidR="00A63807" w:rsidRDefault="00000000">
      <w:pPr>
        <w:spacing w:after="100" w:line="259" w:lineRule="auto"/>
      </w:pPr>
      <w:r>
        <w:t>Wireless cellular systems have evolved from voice-centric connectivity toward high-capacity, software-defined platforms that support broadband data, machine-type communications, industrial control, sensing, and latency-sensitive applications. Beyond-5G (B5G) research extends the capabilities of deployed fifth-generation networks, while 6G research considers more integrated communication, sensing, computing, and intelligent control. Although exact 6G targets and deployment architectures continue to evolve, several persistent design pressures are clear: more devices per unit area, higher aggregate data demand, heterogeneous quality-of-service requirements, improved energy efficiency, and operation under changing propagation conditions.</w:t>
      </w:r>
    </w:p>
    <w:p w14:paraId="3B561936" w14:textId="77777777" w:rsidR="00A63807" w:rsidRDefault="00000000">
      <w:pPr>
        <w:spacing w:after="100" w:line="259" w:lineRule="auto"/>
      </w:pPr>
      <w:r>
        <w:t>Spectral efficiency describes how effectively a system converts limited bandwidth into information throughput. A common measure is achievable rate divided by occupied bandwidth, expressed in bit/s/Hz. It is not determined by the access technique alone: channel quality, interference, scheduling, coding, receiver capability, and resource allocation all matter. Therefore, improved grouping accuracy does not by itself prove a spectral-efficiency gain. Grouping is an upstream decision variable; resulting sum-rate and reliability must be assessed in a separate, validated physical-layer stage.</w:t>
      </w:r>
    </w:p>
    <w:p w14:paraId="711207E1" w14:textId="77777777" w:rsidR="00A63807" w:rsidRDefault="00000000">
      <w:pPr>
        <w:spacing w:after="140"/>
        <w:jc w:val="center"/>
      </w:pPr>
      <w:r>
        <w:rPr>
          <w:rFonts w:ascii="Cambria Math" w:hAnsi="Cambria Math"/>
          <w:i/>
        </w:rPr>
        <w:t>η = R / B   [bit/s/Hz];       η_sum = (Σᵢ Rᵢ) / B</w:t>
      </w:r>
    </w:p>
    <w:p w14:paraId="5BC525B8" w14:textId="77777777" w:rsidR="00A63807" w:rsidRDefault="00000000">
      <w:pPr>
        <w:spacing w:after="100" w:line="259" w:lineRule="auto"/>
      </w:pPr>
      <w:r>
        <w:t>NOMA is relevant because it can permit multiple users to share a time-frequency resource rather than assigning an orthogonal resource to each user. The potential gain comes with additional interference-management requirements. In power-domain NOMA, the transmitter superposes user signals at different power levels, and a receiver may decode and cancel selected signals in sequence. The grouping policy determines which users are superposed together, so a poor grouping decision can make decoding more difficult or increase residual interference.</w:t>
      </w:r>
    </w:p>
    <w:p w14:paraId="3544DBBC" w14:textId="77777777" w:rsidR="00A63807" w:rsidRDefault="00000000">
      <w:pPr>
        <w:spacing w:after="100" w:line="259" w:lineRule="auto"/>
      </w:pPr>
      <w:r>
        <w:t>The operating environment is dynamic. A user can move, a blockage can appear, a serving geometry can change, and channel coefficients can vary between estimation and use. A grouping policy must update its decisions when fresh observations arrive. Static rules may be computationally simple but can fail to adapt to changes in relative channel conditions or measurement reliability. A graph-learning model is attractive because it represents users and pairwise relationships explicitly, then aggregates contextual information through message passing.</w:t>
      </w:r>
    </w:p>
    <w:p w14:paraId="2DAE979C" w14:textId="77777777" w:rsidR="00A63807" w:rsidRDefault="00000000">
      <w:pPr>
        <w:pStyle w:val="Heading21"/>
        <w:keepNext/>
      </w:pPr>
      <w:r>
        <w:t>1.2 Fundamental Principles of Power-Domain NOMA</w:t>
      </w:r>
    </w:p>
    <w:p w14:paraId="1DFB0D1F" w14:textId="77777777" w:rsidR="00A63807" w:rsidRDefault="00000000">
      <w:pPr>
        <w:spacing w:after="100" w:line="259" w:lineRule="auto"/>
      </w:pPr>
      <w:r>
        <w:t>In power-domain NOMA, a base station transmits a superposition of signals intended for multiple users over a shared resource. For a group containing K users, a simplified complex baseband downlink signal is:</w:t>
      </w:r>
    </w:p>
    <w:p w14:paraId="433322BF" w14:textId="77777777" w:rsidR="00A63807" w:rsidRDefault="00000000">
      <w:pPr>
        <w:spacing w:after="140"/>
        <w:jc w:val="center"/>
      </w:pPr>
      <w:r>
        <w:rPr>
          <w:rFonts w:ascii="Cambria Math" w:hAnsi="Cambria Math"/>
          <w:i/>
        </w:rPr>
        <w:t>x = Σₖ₌₁ᴷ √pₖ sₖ,       Σₖ₌₁ᴷ pₖ ≤ P_max</w:t>
      </w:r>
    </w:p>
    <w:p w14:paraId="1BC8D3FA" w14:textId="77777777" w:rsidR="00A63807" w:rsidRDefault="00000000">
      <w:pPr>
        <w:spacing w:after="100" w:line="259" w:lineRule="auto"/>
      </w:pPr>
      <w:r>
        <w:t>Here sₖ is a normalized information-bearing symbol, pₖ is its transmit power, and P_max is the available power budget. At user k, the received signal is:</w:t>
      </w:r>
    </w:p>
    <w:p w14:paraId="0278E874" w14:textId="77777777" w:rsidR="00A63807" w:rsidRDefault="00000000">
      <w:pPr>
        <w:spacing w:after="140"/>
        <w:jc w:val="center"/>
      </w:pPr>
      <w:r>
        <w:rPr>
          <w:rFonts w:ascii="Cambria Math" w:hAnsi="Cambria Math"/>
          <w:i/>
        </w:rPr>
        <w:t>yₖ = hₖx + nₖ = hₖ Σⱼ₌₁ᴷ √pⱼsⱼ + nₖ</w:t>
      </w:r>
    </w:p>
    <w:p w14:paraId="737A5A51" w14:textId="77777777" w:rsidR="00A63807" w:rsidRDefault="00000000">
      <w:pPr>
        <w:spacing w:after="100" w:line="259" w:lineRule="auto"/>
      </w:pPr>
      <w:r>
        <w:t>where hₖ is the complex channel coefficient and nₖ represents receiver noise, commonly modeled as circularly symmetric complex Gaussian noise for analysis. This is a conceptual model; the present project does not implement the power allocator or receiver decoder that would calculate realized SINR.</w:t>
      </w:r>
    </w:p>
    <w:p w14:paraId="37E7CDC4" w14:textId="77777777" w:rsidR="00A63807" w:rsidRDefault="00000000">
      <w:pPr>
        <w:spacing w:after="100" w:line="259" w:lineRule="auto"/>
      </w:pPr>
      <w:r>
        <w:t>Successive interference cancellation (SIC) is a receiver operation in which a receiver decodes one or more other users’ signals, reconstructs them, and subtracts them before decoding its own signal. Decoding order and feasibility depend on received powers, channel conditions, code rates, noise, and cancellation quality. In practical NOMA systems, grouping and power allocation are coupled design choices: a group that appears promising under a grouping metric may not be feasible under a specific SIC order or power budget. This is why group prediction is separated from subsequent link-level validation.</w:t>
      </w:r>
    </w:p>
    <w:p w14:paraId="52CD97D1" w14:textId="77777777" w:rsidR="00A63807" w:rsidRDefault="00000000">
      <w:pPr>
        <w:spacing w:after="100" w:line="259" w:lineRule="auto"/>
      </w:pPr>
      <w:r>
        <w:t xml:space="preserve">NOMA grouping commonly seeks to combine users whose channel conditions are sufficiently differentiated to </w:t>
      </w:r>
      <w:r>
        <w:lastRenderedPageBreak/>
        <w:t>support power-domain separation while respecting fairness and receiver constraints. A simple intuitive example is to group stronger and weaker effective channels. However, the optimal grouping depends on the objective and constraints; ‘strong-channel’ and ‘weak-channel’ are descriptive categories in this project, not universal definitions of an optimal partition.</w:t>
      </w:r>
    </w:p>
    <w:tbl>
      <w:tblPr>
        <w:tblStyle w:val="TableGrid1"/>
        <w:tblW w:w="0" w:type="auto"/>
        <w:tblInd w:w="0" w:type="dxa"/>
        <w:tblCellMar>
          <w:top w:w="0" w:type="dxa"/>
          <w:left w:w="0" w:type="dxa"/>
          <w:bottom w:w="0" w:type="dxa"/>
          <w:right w:w="0" w:type="dxa"/>
        </w:tblCellMar>
        <w:tblLook w:val="04A0" w:firstRow="1" w:lastRow="0" w:firstColumn="1" w:lastColumn="0" w:noHBand="0" w:noVBand="1"/>
      </w:tblPr>
      <w:tblGrid>
        <w:gridCol w:w="3292"/>
        <w:gridCol w:w="3293"/>
        <w:gridCol w:w="3293"/>
      </w:tblGrid>
      <w:tr w:rsidR="00A63807" w14:paraId="3BDEA3AE" w14:textId="77777777">
        <w:tblPrEx>
          <w:tblCellMar>
            <w:top w:w="0" w:type="dxa"/>
            <w:left w:w="0" w:type="dxa"/>
            <w:bottom w:w="0" w:type="dxa"/>
            <w:right w:w="0" w:type="dxa"/>
          </w:tblCellMar>
        </w:tblPrEx>
        <w:tc>
          <w:tcPr>
            <w:tcW w:w="3293" w:type="dxa"/>
            <w:shd w:val="clear" w:color="auto" w:fill="D9EAF7"/>
          </w:tcPr>
          <w:p w14:paraId="34460EEF" w14:textId="77777777" w:rsidR="00A63807" w:rsidRDefault="00000000">
            <w:r>
              <w:rPr>
                <w:b/>
                <w:sz w:val="18"/>
              </w:rPr>
              <w:t>Aspect</w:t>
            </w:r>
          </w:p>
        </w:tc>
        <w:tc>
          <w:tcPr>
            <w:tcW w:w="3293" w:type="dxa"/>
            <w:shd w:val="clear" w:color="auto" w:fill="D9EAF7"/>
          </w:tcPr>
          <w:p w14:paraId="7EB7B0C6" w14:textId="77777777" w:rsidR="00A63807" w:rsidRDefault="00000000">
            <w:r>
              <w:rPr>
                <w:b/>
                <w:sz w:val="18"/>
              </w:rPr>
              <w:t>Potential benefit</w:t>
            </w:r>
          </w:p>
        </w:tc>
        <w:tc>
          <w:tcPr>
            <w:tcW w:w="3293" w:type="dxa"/>
            <w:shd w:val="clear" w:color="auto" w:fill="D9EAF7"/>
          </w:tcPr>
          <w:p w14:paraId="6805A6D8" w14:textId="77777777" w:rsidR="00A63807" w:rsidRDefault="00000000">
            <w:r>
              <w:rPr>
                <w:b/>
                <w:sz w:val="18"/>
              </w:rPr>
              <w:t>Requirement or challenge</w:t>
            </w:r>
          </w:p>
        </w:tc>
      </w:tr>
      <w:tr w:rsidR="00A63807" w14:paraId="08B386D8" w14:textId="77777777">
        <w:tblPrEx>
          <w:tblCellMar>
            <w:top w:w="0" w:type="dxa"/>
            <w:left w:w="0" w:type="dxa"/>
            <w:bottom w:w="0" w:type="dxa"/>
            <w:right w:w="0" w:type="dxa"/>
          </w:tblCellMar>
        </w:tblPrEx>
        <w:tc>
          <w:tcPr>
            <w:tcW w:w="3293" w:type="dxa"/>
          </w:tcPr>
          <w:p w14:paraId="673A23AC" w14:textId="77777777" w:rsidR="00A63807" w:rsidRDefault="00000000">
            <w:pPr>
              <w:spacing w:after="40"/>
            </w:pPr>
            <w:r>
              <w:rPr>
                <w:sz w:val="17"/>
              </w:rPr>
              <w:t>Shared time-frequency resource</w:t>
            </w:r>
          </w:p>
        </w:tc>
        <w:tc>
          <w:tcPr>
            <w:tcW w:w="3293" w:type="dxa"/>
          </w:tcPr>
          <w:p w14:paraId="3C77790B" w14:textId="77777777" w:rsidR="00A63807" w:rsidRDefault="00000000">
            <w:pPr>
              <w:spacing w:after="40"/>
            </w:pPr>
            <w:r>
              <w:rPr>
                <w:sz w:val="17"/>
              </w:rPr>
              <w:t>Higher reuse of scarce radio resources</w:t>
            </w:r>
          </w:p>
        </w:tc>
        <w:tc>
          <w:tcPr>
            <w:tcW w:w="3293" w:type="dxa"/>
          </w:tcPr>
          <w:p w14:paraId="4E6B62A1" w14:textId="77777777" w:rsidR="00A63807" w:rsidRDefault="00000000">
            <w:pPr>
              <w:spacing w:after="40"/>
            </w:pPr>
            <w:r>
              <w:rPr>
                <w:sz w:val="17"/>
              </w:rPr>
              <w:t>Inter-user interference must be managed</w:t>
            </w:r>
          </w:p>
        </w:tc>
      </w:tr>
      <w:tr w:rsidR="00A63807" w14:paraId="6706C4DB" w14:textId="77777777">
        <w:tblPrEx>
          <w:tblCellMar>
            <w:top w:w="0" w:type="dxa"/>
            <w:left w:w="0" w:type="dxa"/>
            <w:bottom w:w="0" w:type="dxa"/>
            <w:right w:w="0" w:type="dxa"/>
          </w:tblCellMar>
        </w:tblPrEx>
        <w:tc>
          <w:tcPr>
            <w:tcW w:w="3293" w:type="dxa"/>
          </w:tcPr>
          <w:p w14:paraId="6A48C377" w14:textId="77777777" w:rsidR="00A63807" w:rsidRDefault="00000000">
            <w:pPr>
              <w:spacing w:after="40"/>
            </w:pPr>
            <w:r>
              <w:rPr>
                <w:sz w:val="17"/>
              </w:rPr>
              <w:t>Power-domain superposition</w:t>
            </w:r>
          </w:p>
        </w:tc>
        <w:tc>
          <w:tcPr>
            <w:tcW w:w="3293" w:type="dxa"/>
          </w:tcPr>
          <w:p w14:paraId="047F9283" w14:textId="77777777" w:rsidR="00A63807" w:rsidRDefault="00000000">
            <w:pPr>
              <w:spacing w:after="40"/>
            </w:pPr>
            <w:r>
              <w:rPr>
                <w:sz w:val="17"/>
              </w:rPr>
              <w:t>Simultaneous transmissions to multiple users</w:t>
            </w:r>
          </w:p>
        </w:tc>
        <w:tc>
          <w:tcPr>
            <w:tcW w:w="3293" w:type="dxa"/>
          </w:tcPr>
          <w:p w14:paraId="2D245CBF" w14:textId="77777777" w:rsidR="00A63807" w:rsidRDefault="00000000">
            <w:pPr>
              <w:spacing w:after="40"/>
            </w:pPr>
            <w:r>
              <w:rPr>
                <w:sz w:val="17"/>
              </w:rPr>
              <w:t>Power levels and decoding order must be jointly feasible</w:t>
            </w:r>
          </w:p>
        </w:tc>
      </w:tr>
      <w:tr w:rsidR="00A63807" w14:paraId="080459A6" w14:textId="77777777">
        <w:tblPrEx>
          <w:tblCellMar>
            <w:top w:w="0" w:type="dxa"/>
            <w:left w:w="0" w:type="dxa"/>
            <w:bottom w:w="0" w:type="dxa"/>
            <w:right w:w="0" w:type="dxa"/>
          </w:tblCellMar>
        </w:tblPrEx>
        <w:tc>
          <w:tcPr>
            <w:tcW w:w="3293" w:type="dxa"/>
          </w:tcPr>
          <w:p w14:paraId="09BAEB9D" w14:textId="77777777" w:rsidR="00A63807" w:rsidRDefault="00000000">
            <w:pPr>
              <w:spacing w:after="40"/>
            </w:pPr>
            <w:r>
              <w:rPr>
                <w:sz w:val="17"/>
              </w:rPr>
              <w:t>SIC receiver processing</w:t>
            </w:r>
          </w:p>
        </w:tc>
        <w:tc>
          <w:tcPr>
            <w:tcW w:w="3293" w:type="dxa"/>
          </w:tcPr>
          <w:p w14:paraId="62EDA8A5" w14:textId="77777777" w:rsidR="00A63807" w:rsidRDefault="00000000">
            <w:pPr>
              <w:spacing w:after="40"/>
            </w:pPr>
            <w:r>
              <w:rPr>
                <w:sz w:val="17"/>
              </w:rPr>
              <w:t>Can remove decoded interference under suitable conditions</w:t>
            </w:r>
          </w:p>
        </w:tc>
        <w:tc>
          <w:tcPr>
            <w:tcW w:w="3293" w:type="dxa"/>
          </w:tcPr>
          <w:p w14:paraId="526BAE23" w14:textId="77777777" w:rsidR="00A63807" w:rsidRDefault="00000000">
            <w:pPr>
              <w:spacing w:after="40"/>
            </w:pPr>
            <w:r>
              <w:rPr>
                <w:sz w:val="17"/>
              </w:rPr>
              <w:t>Errors propagate; imperfect cancellation leaves residual interference</w:t>
            </w:r>
          </w:p>
        </w:tc>
      </w:tr>
      <w:tr w:rsidR="00A63807" w14:paraId="2530153E" w14:textId="77777777">
        <w:tblPrEx>
          <w:tblCellMar>
            <w:top w:w="0" w:type="dxa"/>
            <w:left w:w="0" w:type="dxa"/>
            <w:bottom w:w="0" w:type="dxa"/>
            <w:right w:w="0" w:type="dxa"/>
          </w:tblCellMar>
        </w:tblPrEx>
        <w:tc>
          <w:tcPr>
            <w:tcW w:w="3293" w:type="dxa"/>
          </w:tcPr>
          <w:p w14:paraId="29EFDC1F" w14:textId="77777777" w:rsidR="00A63807" w:rsidRDefault="00000000">
            <w:pPr>
              <w:spacing w:after="40"/>
            </w:pPr>
            <w:r>
              <w:rPr>
                <w:sz w:val="17"/>
              </w:rPr>
              <w:t>Dynamic grouping</w:t>
            </w:r>
          </w:p>
        </w:tc>
        <w:tc>
          <w:tcPr>
            <w:tcW w:w="3293" w:type="dxa"/>
          </w:tcPr>
          <w:p w14:paraId="71DC482E" w14:textId="77777777" w:rsidR="00A63807" w:rsidRDefault="00000000">
            <w:pPr>
              <w:spacing w:after="40"/>
            </w:pPr>
            <w:r>
              <w:rPr>
                <w:sz w:val="17"/>
              </w:rPr>
              <w:t>Adapts groups to channel and spatial changes</w:t>
            </w:r>
          </w:p>
        </w:tc>
        <w:tc>
          <w:tcPr>
            <w:tcW w:w="3293" w:type="dxa"/>
          </w:tcPr>
          <w:p w14:paraId="2ACA1262" w14:textId="77777777" w:rsidR="00A63807" w:rsidRDefault="00000000">
            <w:pPr>
              <w:spacing w:after="40"/>
            </w:pPr>
            <w:r>
              <w:rPr>
                <w:sz w:val="17"/>
              </w:rPr>
              <w:t>Requires reliable, timely channel information</w:t>
            </w:r>
          </w:p>
        </w:tc>
      </w:tr>
      <w:tr w:rsidR="00A63807" w14:paraId="321AD5CF" w14:textId="77777777">
        <w:tblPrEx>
          <w:tblCellMar>
            <w:top w:w="0" w:type="dxa"/>
            <w:left w:w="0" w:type="dxa"/>
            <w:bottom w:w="0" w:type="dxa"/>
            <w:right w:w="0" w:type="dxa"/>
          </w:tblCellMar>
        </w:tblPrEx>
        <w:tc>
          <w:tcPr>
            <w:tcW w:w="3293" w:type="dxa"/>
          </w:tcPr>
          <w:p w14:paraId="40ABA49E" w14:textId="77777777" w:rsidR="00A63807" w:rsidRDefault="00000000">
            <w:pPr>
              <w:spacing w:after="40"/>
            </w:pPr>
            <w:r>
              <w:rPr>
                <w:sz w:val="17"/>
              </w:rPr>
              <w:t>Learning-based grouping</w:t>
            </w:r>
          </w:p>
        </w:tc>
        <w:tc>
          <w:tcPr>
            <w:tcW w:w="3293" w:type="dxa"/>
          </w:tcPr>
          <w:p w14:paraId="13D72AFA" w14:textId="77777777" w:rsidR="00A63807" w:rsidRDefault="00000000">
            <w:pPr>
              <w:spacing w:after="40"/>
            </w:pPr>
            <w:r>
              <w:rPr>
                <w:sz w:val="17"/>
              </w:rPr>
              <w:t>Can model nonlinear feature and graph relationships</w:t>
            </w:r>
          </w:p>
        </w:tc>
        <w:tc>
          <w:tcPr>
            <w:tcW w:w="3293" w:type="dxa"/>
          </w:tcPr>
          <w:p w14:paraId="409869AD" w14:textId="77777777" w:rsidR="00A63807" w:rsidRDefault="00000000">
            <w:pPr>
              <w:spacing w:after="40"/>
            </w:pPr>
            <w:r>
              <w:rPr>
                <w:sz w:val="17"/>
              </w:rPr>
              <w:t>Needs robust labels, validation, and uncertainty control</w:t>
            </w:r>
          </w:p>
        </w:tc>
      </w:tr>
    </w:tbl>
    <w:p w14:paraId="4A89365F" w14:textId="77777777" w:rsidR="00A63807" w:rsidRDefault="00A63807"/>
    <w:p w14:paraId="0CF7C1FE" w14:textId="77777777" w:rsidR="00A63807" w:rsidRDefault="00000000">
      <w:pPr>
        <w:spacing w:after="100" w:line="259" w:lineRule="auto"/>
      </w:pPr>
      <w:r>
        <w:t>Figure 1.1 (recommended): draw a base station transmitting a superposed signal to four user terminals. Use distinct line styles for the shared resource and annotate that power allocation and SIC are downstream of the current GNN grouping core.</w:t>
      </w:r>
    </w:p>
    <w:p w14:paraId="17D9DAD5" w14:textId="77777777" w:rsidR="00A63807" w:rsidRDefault="00000000">
      <w:pPr>
        <w:pStyle w:val="Heading21"/>
        <w:keepNext/>
      </w:pPr>
      <w:r>
        <w:t>1.3 The Critical Need for Dynamic User Grouping &amp; Cluster Formation</w:t>
      </w:r>
    </w:p>
    <w:p w14:paraId="1BACE1A4" w14:textId="77777777" w:rsidR="00A63807" w:rsidRDefault="00000000">
      <w:pPr>
        <w:spacing w:after="100" w:line="259" w:lineRule="auto"/>
      </w:pPr>
      <w:r>
        <w:t>Let U = {u₁, u₂, …, u_N} be the active users in a scenario. Grouping partitions U into C groups G₁,…,G_C such that every user is assigned to one group under the selected label convention. The reported setup contains N = 20 users per scenario and C = 4 groups. The grouping function is learned from user features and graph relationships; it is not produced by K-Means or another conventional clustering algorithm after inference.</w:t>
      </w:r>
    </w:p>
    <w:p w14:paraId="52591643" w14:textId="77777777" w:rsidR="00A63807" w:rsidRDefault="00000000">
      <w:pPr>
        <w:spacing w:after="140"/>
        <w:jc w:val="center"/>
      </w:pPr>
      <w:r>
        <w:rPr>
          <w:rFonts w:ascii="Cambria Math" w:hAnsi="Cambria Math"/>
          <w:i/>
        </w:rPr>
        <w:t>U = ⋃ᶜ₌₁ᴄ G_c,       G_c ∩ G_d = ∅ for c ≠ d</w:t>
      </w:r>
    </w:p>
    <w:p w14:paraId="3EB7DF55" w14:textId="77777777" w:rsidR="00A63807" w:rsidRDefault="00000000">
      <w:pPr>
        <w:spacing w:after="100" w:line="259" w:lineRule="auto"/>
      </w:pPr>
      <w:r>
        <w:t>Dynamic grouping means that the mapping from user observations to group identifiers can be recomputed when a new scenario or channel snapshot is presented. The model should respond to changes in channel gain, SNR, distance, complex channel values, and uncertainty. A graph representation adds relational context: users are not treated as independent feature vectors, because their relative similarity or proximity influences how their representations are updated.</w:t>
      </w:r>
    </w:p>
    <w:p w14:paraId="2EFF954C" w14:textId="77777777" w:rsidR="00A63807" w:rsidRDefault="00000000">
      <w:pPr>
        <w:spacing w:after="100" w:line="259" w:lineRule="auto"/>
      </w:pPr>
      <w:r>
        <w:t>A grouping system also needs to handle incomplete supervision. Obtaining reliable reference labels for every user in every scenario may be expensive, particularly if labels originate from a costly optimization procedure or expert-defined policy. A semi-supervised method uses labeled nodes for direct supervision while extracting signal from unlabeled data. Consistency regularization encourages stable predictions under modest graph perturbations, and pseudo-labeling adds training targets only when confidence and channel reliability gates pass.</w:t>
      </w:r>
    </w:p>
    <w:p w14:paraId="1E0F6126" w14:textId="77777777" w:rsidR="00A63807" w:rsidRDefault="00000000">
      <w:pPr>
        <w:spacing w:after="100" w:line="259" w:lineRule="auto"/>
      </w:pPr>
      <w:r>
        <w:t>The uncertainty-aware design addresses a key distinction: two users can appear close in observed feature space because their true channels are similar, or because estimation errors make them appear similar. Without an uncertainty feature, the GNN may not distinguish these cases. Supplying a CSI-error magnitude and using it to gate pseudo-label acceptance informs the learning process about input reliability. This does not guarantee better generalization; it is a testable mechanism whose value must be established through controlled comparisons.</w:t>
      </w:r>
    </w:p>
    <w:p w14:paraId="4F0EAECB" w14:textId="77777777" w:rsidR="00A63807" w:rsidRDefault="00000000">
      <w:pPr>
        <w:pStyle w:val="Heading21"/>
        <w:keepNext/>
      </w:pPr>
      <w:r>
        <w:t>1.4 The Problem of Imperfect CSI in Real-World Wireless Channels</w:t>
      </w:r>
    </w:p>
    <w:p w14:paraId="0154803C" w14:textId="77777777" w:rsidR="00A63807" w:rsidRDefault="00000000">
      <w:pPr>
        <w:spacing w:after="100" w:line="259" w:lineRule="auto"/>
      </w:pPr>
      <w:r>
        <w:t>Channel state information summarizes propagation conditions relevant to transmission or reception. A complex channel coefficient is h = h_R + jh_I. A practical estimate ĥ differs from the true coefficient because of noisy pilots, finite estimation resources, time variation, feedback quantization, latency, calibration errors, and model mismatch. If the channel changes between estimation and use, even a statistically sound estimate can be stale.</w:t>
      </w:r>
    </w:p>
    <w:p w14:paraId="21C83326" w14:textId="77777777" w:rsidR="00A63807" w:rsidRDefault="00000000">
      <w:pPr>
        <w:spacing w:after="100" w:line="259" w:lineRule="auto"/>
      </w:pPr>
      <w:r>
        <w:t xml:space="preserve">The project defines complex CSI error as the difference between true and estimated channel values, e = h − ĥ. CSI uncertainty is the squared magnitude of this residual, u = |e|². The squared magnitude is non-negative and captures </w:t>
      </w:r>
      <w:r>
        <w:lastRenderedPageBreak/>
        <w:t>error in both the in-phase and quadrature components:</w:t>
      </w:r>
    </w:p>
    <w:p w14:paraId="185EF8DF" w14:textId="77777777" w:rsidR="00A63807" w:rsidRDefault="00000000">
      <w:pPr>
        <w:spacing w:after="140"/>
        <w:jc w:val="center"/>
      </w:pPr>
      <w:r>
        <w:rPr>
          <w:rFonts w:ascii="Cambria Math" w:hAnsi="Cambria Math"/>
          <w:i/>
        </w:rPr>
        <w:t>eᵢ = hᵢ − ĥᵢ</w:t>
      </w:r>
    </w:p>
    <w:p w14:paraId="0E7E4D9B" w14:textId="77777777" w:rsidR="00A63807" w:rsidRDefault="00000000">
      <w:pPr>
        <w:spacing w:after="140"/>
        <w:jc w:val="center"/>
      </w:pPr>
      <w:r>
        <w:rPr>
          <w:rFonts w:ascii="Cambria Math" w:hAnsi="Cambria Math"/>
          <w:i/>
        </w:rPr>
        <w:t>uᵢ = |eᵢ|² = (hᵢ,R − ĥᵢ,R)² + (hᵢ,I − ĥᵢ,I)²</w:t>
      </w:r>
    </w:p>
    <w:p w14:paraId="1E73F330" w14:textId="77777777" w:rsidR="00A63807" w:rsidRDefault="00000000">
      <w:pPr>
        <w:spacing w:after="100" w:line="259" w:lineRule="auto"/>
      </w:pPr>
      <w:r>
        <w:t>This definition is a sample-wise error-energy measure. It should not automatically be conflated with a calibrated posterior variance or Bayesian uncertainty estimate: it is computed from a known true channel and its estimate in the dataset. If the true channel is unavailable at inference time, the exact sample error cannot be calculated directly. A deployed system would need a proxy such as an estimator-provided error variance, pilot-residual statistic, temporal prediction error, or separately trained uncertainty estimator. In the current benchmark, the supplied definition is used as the explicit uncertainty feature and pseudo-label gate variable.</w:t>
      </w:r>
    </w:p>
    <w:p w14:paraId="61453949" w14:textId="77777777" w:rsidR="00A63807" w:rsidRDefault="00000000">
      <w:pPr>
        <w:spacing w:after="100" w:line="259" w:lineRule="auto"/>
      </w:pPr>
      <w:r>
        <w:t>CSI uncertainty has two roles. First, it is included in the node feature vector so that the GNN can learn whether uncertainty correlates with group membership. Second, it filters pseudo-label candidates: a prediction is used as a pseudo-target only if its maximum Softmax confidence is at least 0.90 and its uncertainty is below a configured threshold. The first role is feature-based learning; the second is an explicit training-policy decision. Ablations are required to estimate the incremental value of each role.</w:t>
      </w:r>
    </w:p>
    <w:p w14:paraId="37B39A99" w14:textId="77777777" w:rsidR="00A63807" w:rsidRDefault="00000000">
      <w:pPr>
        <w:pStyle w:val="Heading21"/>
        <w:keepNext/>
      </w:pPr>
      <w:r>
        <w:t>1.5 Research Questions, Core Hypotheses &amp; Scope Boundaries</w:t>
      </w:r>
    </w:p>
    <w:p w14:paraId="003E9F20" w14:textId="77777777" w:rsidR="00A63807" w:rsidRDefault="00000000">
      <w:pPr>
        <w:spacing w:after="100" w:line="259" w:lineRule="auto"/>
      </w:pPr>
      <w:r>
        <w:t>The research is organized around falsifiable questions rather than assuming that uncertainty awareness necessarily improves performance.</w:t>
      </w:r>
    </w:p>
    <w:tbl>
      <w:tblPr>
        <w:tblStyle w:val="TableGrid1"/>
        <w:tblW w:w="0" w:type="auto"/>
        <w:tblInd w:w="0" w:type="dxa"/>
        <w:tblCellMar>
          <w:top w:w="0" w:type="dxa"/>
          <w:left w:w="0" w:type="dxa"/>
          <w:bottom w:w="0" w:type="dxa"/>
          <w:right w:w="0" w:type="dxa"/>
        </w:tblCellMar>
        <w:tblLook w:val="04A0" w:firstRow="1" w:lastRow="0" w:firstColumn="1" w:lastColumn="0" w:noHBand="0" w:noVBand="1"/>
      </w:tblPr>
      <w:tblGrid>
        <w:gridCol w:w="3292"/>
        <w:gridCol w:w="3293"/>
        <w:gridCol w:w="3293"/>
      </w:tblGrid>
      <w:tr w:rsidR="00A63807" w14:paraId="7F44C085" w14:textId="77777777">
        <w:tblPrEx>
          <w:tblCellMar>
            <w:top w:w="0" w:type="dxa"/>
            <w:left w:w="0" w:type="dxa"/>
            <w:bottom w:w="0" w:type="dxa"/>
            <w:right w:w="0" w:type="dxa"/>
          </w:tblCellMar>
        </w:tblPrEx>
        <w:tc>
          <w:tcPr>
            <w:tcW w:w="3293" w:type="dxa"/>
            <w:shd w:val="clear" w:color="auto" w:fill="D9EAF7"/>
          </w:tcPr>
          <w:p w14:paraId="7D6B434C" w14:textId="77777777" w:rsidR="00A63807" w:rsidRDefault="00000000">
            <w:r>
              <w:rPr>
                <w:b/>
                <w:sz w:val="18"/>
              </w:rPr>
              <w:t>Research question</w:t>
            </w:r>
          </w:p>
        </w:tc>
        <w:tc>
          <w:tcPr>
            <w:tcW w:w="3293" w:type="dxa"/>
            <w:shd w:val="clear" w:color="auto" w:fill="D9EAF7"/>
          </w:tcPr>
          <w:p w14:paraId="1701AF0D" w14:textId="77777777" w:rsidR="00A63807" w:rsidRDefault="00000000">
            <w:r>
              <w:rPr>
                <w:b/>
                <w:sz w:val="18"/>
              </w:rPr>
              <w:t>Core hypothesis</w:t>
            </w:r>
          </w:p>
        </w:tc>
        <w:tc>
          <w:tcPr>
            <w:tcW w:w="3293" w:type="dxa"/>
            <w:shd w:val="clear" w:color="auto" w:fill="D9EAF7"/>
          </w:tcPr>
          <w:p w14:paraId="36A551ED" w14:textId="77777777" w:rsidR="00A63807" w:rsidRDefault="00000000">
            <w:r>
              <w:rPr>
                <w:b/>
                <w:sz w:val="18"/>
              </w:rPr>
              <w:t>Evidence required</w:t>
            </w:r>
          </w:p>
        </w:tc>
      </w:tr>
      <w:tr w:rsidR="00A63807" w14:paraId="6016063C" w14:textId="77777777">
        <w:tblPrEx>
          <w:tblCellMar>
            <w:top w:w="0" w:type="dxa"/>
            <w:left w:w="0" w:type="dxa"/>
            <w:bottom w:w="0" w:type="dxa"/>
            <w:right w:w="0" w:type="dxa"/>
          </w:tblCellMar>
        </w:tblPrEx>
        <w:tc>
          <w:tcPr>
            <w:tcW w:w="3293" w:type="dxa"/>
          </w:tcPr>
          <w:p w14:paraId="0B9A9CD7" w14:textId="77777777" w:rsidR="00A63807" w:rsidRDefault="00000000">
            <w:pPr>
              <w:spacing w:after="40"/>
            </w:pPr>
            <w:r>
              <w:rPr>
                <w:sz w:val="17"/>
              </w:rPr>
              <w:t>RQ1: Does CSI uncertainty improve grouping?</w:t>
            </w:r>
          </w:p>
        </w:tc>
        <w:tc>
          <w:tcPr>
            <w:tcW w:w="3293" w:type="dxa"/>
          </w:tcPr>
          <w:p w14:paraId="457F9496" w14:textId="77777777" w:rsidR="00A63807" w:rsidRDefault="00000000">
            <w:pPr>
              <w:spacing w:after="40"/>
            </w:pPr>
            <w:r>
              <w:rPr>
                <w:sz w:val="17"/>
              </w:rPr>
              <w:t>The feature may distinguish reliable from unreliable observations.</w:t>
            </w:r>
          </w:p>
        </w:tc>
        <w:tc>
          <w:tcPr>
            <w:tcW w:w="3293" w:type="dxa"/>
          </w:tcPr>
          <w:p w14:paraId="4A7405F9" w14:textId="77777777" w:rsidR="00A63807" w:rsidRDefault="00000000">
            <w:pPr>
              <w:spacing w:after="40"/>
            </w:pPr>
            <w:r>
              <w:rPr>
                <w:sz w:val="17"/>
              </w:rPr>
              <w:t>Matched ablation with and without uncertainty, identical splits and budget.</w:t>
            </w:r>
          </w:p>
        </w:tc>
      </w:tr>
      <w:tr w:rsidR="00A63807" w14:paraId="619CDF9E" w14:textId="77777777">
        <w:tblPrEx>
          <w:tblCellMar>
            <w:top w:w="0" w:type="dxa"/>
            <w:left w:w="0" w:type="dxa"/>
            <w:bottom w:w="0" w:type="dxa"/>
            <w:right w:w="0" w:type="dxa"/>
          </w:tblCellMar>
        </w:tblPrEx>
        <w:tc>
          <w:tcPr>
            <w:tcW w:w="3293" w:type="dxa"/>
          </w:tcPr>
          <w:p w14:paraId="47FA1166" w14:textId="77777777" w:rsidR="00A63807" w:rsidRDefault="00000000">
            <w:pPr>
              <w:spacing w:after="40"/>
            </w:pPr>
            <w:r>
              <w:rPr>
                <w:sz w:val="17"/>
              </w:rPr>
              <w:t>RQ2: Does semi-supervised learning help with scarce labels?</w:t>
            </w:r>
          </w:p>
        </w:tc>
        <w:tc>
          <w:tcPr>
            <w:tcW w:w="3293" w:type="dxa"/>
          </w:tcPr>
          <w:p w14:paraId="5F7A5B95" w14:textId="77777777" w:rsidR="00A63807" w:rsidRDefault="00000000">
            <w:pPr>
              <w:spacing w:after="40"/>
            </w:pPr>
            <w:r>
              <w:rPr>
                <w:sz w:val="17"/>
              </w:rPr>
              <w:t>Consistency and gated pseudo-labeling may exploit unlabeled graph structure.</w:t>
            </w:r>
          </w:p>
        </w:tc>
        <w:tc>
          <w:tcPr>
            <w:tcW w:w="3293" w:type="dxa"/>
          </w:tcPr>
          <w:p w14:paraId="741841B0" w14:textId="77777777" w:rsidR="00A63807" w:rsidRDefault="00000000">
            <w:pPr>
              <w:spacing w:after="40"/>
            </w:pPr>
            <w:r>
              <w:rPr>
                <w:sz w:val="17"/>
              </w:rPr>
              <w:t>Label-efficiency sweep at 5%, 10%, 20%, 30%, and 50% labels.</w:t>
            </w:r>
          </w:p>
        </w:tc>
      </w:tr>
      <w:tr w:rsidR="00A63807" w14:paraId="61994DE8" w14:textId="77777777">
        <w:tblPrEx>
          <w:tblCellMar>
            <w:top w:w="0" w:type="dxa"/>
            <w:left w:w="0" w:type="dxa"/>
            <w:bottom w:w="0" w:type="dxa"/>
            <w:right w:w="0" w:type="dxa"/>
          </w:tblCellMar>
        </w:tblPrEx>
        <w:tc>
          <w:tcPr>
            <w:tcW w:w="3293" w:type="dxa"/>
          </w:tcPr>
          <w:p w14:paraId="5A3B92C7" w14:textId="77777777" w:rsidR="00A63807" w:rsidRDefault="00000000">
            <w:pPr>
              <w:spacing w:after="40"/>
            </w:pPr>
            <w:r>
              <w:rPr>
                <w:sz w:val="17"/>
              </w:rPr>
              <w:t>RQ3: Does consistency improve stability?</w:t>
            </w:r>
          </w:p>
        </w:tc>
        <w:tc>
          <w:tcPr>
            <w:tcW w:w="3293" w:type="dxa"/>
          </w:tcPr>
          <w:p w14:paraId="3A7AC917" w14:textId="77777777" w:rsidR="00A63807" w:rsidRDefault="00000000">
            <w:pPr>
              <w:spacing w:after="40"/>
            </w:pPr>
            <w:r>
              <w:rPr>
                <w:sz w:val="17"/>
              </w:rPr>
              <w:t>Predictions should change less under modest perturbations.</w:t>
            </w:r>
          </w:p>
        </w:tc>
        <w:tc>
          <w:tcPr>
            <w:tcW w:w="3293" w:type="dxa"/>
          </w:tcPr>
          <w:p w14:paraId="1381474F" w14:textId="77777777" w:rsidR="00A63807" w:rsidRDefault="00000000">
            <w:pPr>
              <w:spacing w:after="40"/>
            </w:pPr>
            <w:r>
              <w:rPr>
                <w:sz w:val="17"/>
              </w:rPr>
              <w:t>View disagreement and a consistency-loss ablation.</w:t>
            </w:r>
          </w:p>
        </w:tc>
      </w:tr>
      <w:tr w:rsidR="00A63807" w14:paraId="70F658A4" w14:textId="77777777">
        <w:tblPrEx>
          <w:tblCellMar>
            <w:top w:w="0" w:type="dxa"/>
            <w:left w:w="0" w:type="dxa"/>
            <w:bottom w:w="0" w:type="dxa"/>
            <w:right w:w="0" w:type="dxa"/>
          </w:tblCellMar>
        </w:tblPrEx>
        <w:tc>
          <w:tcPr>
            <w:tcW w:w="3293" w:type="dxa"/>
          </w:tcPr>
          <w:p w14:paraId="514E9D90" w14:textId="77777777" w:rsidR="00A63807" w:rsidRDefault="00000000">
            <w:pPr>
              <w:spacing w:after="40"/>
            </w:pPr>
            <w:r>
              <w:rPr>
                <w:sz w:val="17"/>
              </w:rPr>
              <w:t>RQ4: Is performance robust across uncertainty levels?</w:t>
            </w:r>
          </w:p>
        </w:tc>
        <w:tc>
          <w:tcPr>
            <w:tcW w:w="3293" w:type="dxa"/>
          </w:tcPr>
          <w:p w14:paraId="4FFF86D0" w14:textId="77777777" w:rsidR="00A63807" w:rsidRDefault="00000000">
            <w:pPr>
              <w:spacing w:after="40"/>
            </w:pPr>
            <w:r>
              <w:rPr>
                <w:sz w:val="17"/>
              </w:rPr>
              <w:t>Error and confidence may vary with uncertainty; gating may reduce noisy pseudo-label influence.</w:t>
            </w:r>
          </w:p>
        </w:tc>
        <w:tc>
          <w:tcPr>
            <w:tcW w:w="3293" w:type="dxa"/>
          </w:tcPr>
          <w:p w14:paraId="18E3A9D0" w14:textId="77777777" w:rsidR="00A63807" w:rsidRDefault="00000000">
            <w:pPr>
              <w:spacing w:after="40"/>
            </w:pPr>
            <w:r>
              <w:rPr>
                <w:sz w:val="17"/>
              </w:rPr>
              <w:t>Binned uncertainty analysis with counts, aligned accuracy, confidence, and coverage.</w:t>
            </w:r>
          </w:p>
        </w:tc>
      </w:tr>
      <w:tr w:rsidR="00A63807" w14:paraId="720FA539" w14:textId="77777777">
        <w:tblPrEx>
          <w:tblCellMar>
            <w:top w:w="0" w:type="dxa"/>
            <w:left w:w="0" w:type="dxa"/>
            <w:bottom w:w="0" w:type="dxa"/>
            <w:right w:w="0" w:type="dxa"/>
          </w:tblCellMar>
        </w:tblPrEx>
        <w:tc>
          <w:tcPr>
            <w:tcW w:w="3293" w:type="dxa"/>
          </w:tcPr>
          <w:p w14:paraId="35B381BE" w14:textId="77777777" w:rsidR="00A63807" w:rsidRDefault="00000000">
            <w:pPr>
              <w:spacing w:after="40"/>
            </w:pPr>
            <w:r>
              <w:rPr>
                <w:sz w:val="17"/>
              </w:rPr>
              <w:t>RQ5: Are learned groups structurally interpretable?</w:t>
            </w:r>
          </w:p>
        </w:tc>
        <w:tc>
          <w:tcPr>
            <w:tcW w:w="3293" w:type="dxa"/>
          </w:tcPr>
          <w:p w14:paraId="42851ABC" w14:textId="77777777" w:rsidR="00A63807" w:rsidRDefault="00000000">
            <w:pPr>
              <w:spacing w:after="40"/>
            </w:pPr>
            <w:r>
              <w:rPr>
                <w:sz w:val="17"/>
              </w:rPr>
              <w:t>Graph and embedding views may reveal group structure and ambiguous boundaries.</w:t>
            </w:r>
          </w:p>
        </w:tc>
        <w:tc>
          <w:tcPr>
            <w:tcW w:w="3293" w:type="dxa"/>
          </w:tcPr>
          <w:p w14:paraId="075F676E" w14:textId="77777777" w:rsidR="00A63807" w:rsidRDefault="00000000">
            <w:pPr>
              <w:spacing w:after="40"/>
            </w:pPr>
            <w:r>
              <w:rPr>
                <w:sz w:val="17"/>
              </w:rPr>
              <w:t>NetworkX visualizations, PCA/t-SNE plots, and per-group metrics.</w:t>
            </w:r>
          </w:p>
        </w:tc>
      </w:tr>
    </w:tbl>
    <w:p w14:paraId="5D4279BC" w14:textId="77777777" w:rsidR="00A63807" w:rsidRDefault="00A63807"/>
    <w:p w14:paraId="5A450F37" w14:textId="77777777" w:rsidR="00A63807" w:rsidRDefault="00000000">
      <w:pPr>
        <w:spacing w:after="100" w:line="259" w:lineRule="auto"/>
      </w:pPr>
      <w:r>
        <w:t>The project boundary is the machine-learning core. It includes preprocessing, scenario-to-graph conversion, GNN inference, semi-supervised training, label alignment, metrics, and artifacts. The GNN’s Softmax distribution directly determines the predicted group by argmax:</w:t>
      </w:r>
    </w:p>
    <w:p w14:paraId="26659CBB" w14:textId="77777777" w:rsidR="00A63807" w:rsidRDefault="00000000">
      <w:pPr>
        <w:spacing w:after="140"/>
        <w:jc w:val="center"/>
      </w:pPr>
      <w:r>
        <w:rPr>
          <w:rFonts w:ascii="Cambria Math" w:hAnsi="Cambria Math"/>
          <w:i/>
        </w:rPr>
        <w:t>pᵢ = Softmax(zᵢ),       ŷᵢ = arg max_c pᵢ,c</w:t>
      </w:r>
    </w:p>
    <w:p w14:paraId="233A6D0E" w14:textId="77777777" w:rsidR="00A63807" w:rsidRDefault="00000000">
      <w:pPr>
        <w:spacing w:after="100" w:line="259" w:lineRule="auto"/>
      </w:pPr>
      <w:r>
        <w:t>The current stage does not optimize transmit power, simulate SIC, calculate SINR, estimate BER, or report NOMA sum-rate as a measured outcome. Downstream physical-layer modules may later consume predicted group IDs and probabilities, but should initially be evaluated separately so their assumptions do not obscure the grouping model’s contribution. Figure 1.2 (recommended): a solid ‘ML core’ box containing features, graph construction, GNN and group predictions, connected through a defined output interface to a dashed ‘future transmission evaluation’ box containing power allocation, SIC, SINR and sum-rate.</w:t>
      </w:r>
    </w:p>
    <w:p w14:paraId="137671A1" w14:textId="77777777" w:rsidR="00A63807" w:rsidRDefault="00000000">
      <w:pPr>
        <w:pStyle w:val="Heading21"/>
        <w:keepNext/>
      </w:pPr>
      <w:r>
        <w:t>Chapter 1 Summary</w:t>
      </w:r>
    </w:p>
    <w:p w14:paraId="41F1E22A" w14:textId="77777777" w:rsidR="00A63807" w:rsidRDefault="00000000">
      <w:pPr>
        <w:spacing w:after="100" w:line="259" w:lineRule="auto"/>
      </w:pPr>
      <w:r>
        <w:t>This chapter established why dynamic user grouping matters in NOMA, why imperfect CSI complicates the decision, and why graph-based semi-supervised learning is a plausible research direction. It also established the boundary between the ML core and future physical-layer evaluation. The next chapter formalizes channel, uncertainty, graph, and GNN concepts used by the system.</w:t>
      </w:r>
    </w:p>
    <w:p w14:paraId="777E3354" w14:textId="77777777" w:rsidR="00A63807" w:rsidRDefault="00000000">
      <w:r>
        <w:lastRenderedPageBreak/>
        <w:br w:type="page"/>
      </w:r>
    </w:p>
    <w:p w14:paraId="3F84280F" w14:textId="77777777" w:rsidR="00A63807" w:rsidRDefault="00000000">
      <w:pPr>
        <w:pStyle w:val="Heading11"/>
        <w:keepNext/>
      </w:pPr>
      <w:r>
        <w:lastRenderedPageBreak/>
        <w:t>CHAPTER 2. THEORETICAL FOUNDATIONS &amp; MATHEMATICAL MODELING</w:t>
      </w:r>
    </w:p>
    <w:p w14:paraId="4C019BBE" w14:textId="77777777" w:rsidR="00A63807" w:rsidRDefault="00000000">
      <w:pPr>
        <w:pStyle w:val="Heading21"/>
        <w:keepNext/>
      </w:pPr>
      <w:r>
        <w:t>2.1 Cellular Channel Modeling: Rayleigh Fading, Distance-Dependent Path Loss, and SNR</w:t>
      </w:r>
    </w:p>
    <w:p w14:paraId="74C0AF1F" w14:textId="77777777" w:rsidR="00A63807" w:rsidRDefault="00000000">
      <w:pPr>
        <w:spacing w:after="100" w:line="259" w:lineRule="auto"/>
      </w:pPr>
      <w:r>
        <w:t>A wireless channel combines large-scale attenuation with small-scale fluctuations. Large-scale path loss captures average received-power reduction with distance and environment; small-scale fading captures rapid constructive and destructive combination of multipath components. The feature schema includes channel gain, distance, SNR, and complex channel components. The models below provide theoretical context; they do not imply that a particular propagation simulator was used unless the dataset-generation code confirms it.</w:t>
      </w:r>
    </w:p>
    <w:p w14:paraId="1F0B3612" w14:textId="77777777" w:rsidR="00A63807" w:rsidRDefault="00000000">
      <w:pPr>
        <w:spacing w:after="140"/>
        <w:jc w:val="center"/>
      </w:pPr>
      <w:r>
        <w:rPr>
          <w:rFonts w:ascii="Cambria Math" w:hAnsi="Cambria Math"/>
          <w:i/>
        </w:rPr>
        <w:t>PL(d) = PL(d₀)(d/d₀)^α,      PL_dB(d) = PL_dB(d₀) + 10α log₁₀(d/d₀)</w:t>
      </w:r>
    </w:p>
    <w:p w14:paraId="0C26031F" w14:textId="77777777" w:rsidR="00A63807" w:rsidRDefault="00000000">
      <w:pPr>
        <w:spacing w:after="100" w:line="259" w:lineRule="auto"/>
      </w:pPr>
      <w:r>
        <w:t>Here PL(d₀) is the reference path-loss factor at reference distance d₀ and α is the path-loss exponent. The exponent depends on the environment and line-of-sight conditions. Standardized cellular models may also include frequency, antenna height, shadow fading, blockage, and line-of-sight/non-line-of-sight distinctions. Distance is informative but not a complete proxy for channel quality.</w:t>
      </w:r>
    </w:p>
    <w:p w14:paraId="295260AE" w14:textId="77777777" w:rsidR="00A63807" w:rsidRDefault="00000000">
      <w:pPr>
        <w:spacing w:after="100" w:line="259" w:lineRule="auto"/>
      </w:pPr>
      <w:r>
        <w:t>For a flat-fading link, a complex baseband channel can be represented as h = √β g, where β denotes a large-scale power factor and g denotes normalized small-scale fading. Under a Rayleigh-fading assumption, the real and imaginary components of g are independent zero-mean Gaussian variables with equal variance, yielding a complex Gaussian coefficient:</w:t>
      </w:r>
    </w:p>
    <w:p w14:paraId="5853B153" w14:textId="77777777" w:rsidR="00A63807" w:rsidRDefault="00000000">
      <w:pPr>
        <w:spacing w:after="140"/>
        <w:jc w:val="center"/>
      </w:pPr>
      <w:r>
        <w:rPr>
          <w:rFonts w:ascii="Cambria Math" w:hAnsi="Cambria Math"/>
          <w:i/>
        </w:rPr>
        <w:t>g ~ 𝒞𝒩(0,1),       |g|² ~ Exponential(mean = 1)</w:t>
      </w:r>
    </w:p>
    <w:p w14:paraId="1DC6AD3F" w14:textId="77777777" w:rsidR="00A63807" w:rsidRDefault="00000000">
      <w:pPr>
        <w:spacing w:after="100" w:line="259" w:lineRule="auto"/>
      </w:pPr>
      <w:r>
        <w:t>Rayleigh fading is useful when no dominant line-of-sight component exists and many scattered components contribute to the received signal. It does not cover every environment; a Rician model may be more appropriate when a dominant component exists. The actual fading law should be documented in the data-generation protocol.</w:t>
      </w:r>
    </w:p>
    <w:p w14:paraId="69F11989" w14:textId="77777777" w:rsidR="00A63807" w:rsidRDefault="00000000">
      <w:pPr>
        <w:spacing w:after="100" w:line="259" w:lineRule="auto"/>
      </w:pPr>
      <w:r>
        <w:t>The received signal-to-noise ratio is the ratio of received signal power to noise power. For a single-user link with transmit power P and noise variance σ_n²:</w:t>
      </w:r>
    </w:p>
    <w:p w14:paraId="616D79D4" w14:textId="77777777" w:rsidR="00A63807" w:rsidRDefault="00000000">
      <w:pPr>
        <w:spacing w:after="140"/>
        <w:jc w:val="center"/>
      </w:pPr>
      <w:r>
        <w:rPr>
          <w:rFonts w:ascii="Cambria Math" w:hAnsi="Cambria Math"/>
          <w:i/>
        </w:rPr>
        <w:t>γ = P |h|² / σ_n²</w:t>
      </w:r>
    </w:p>
    <w:p w14:paraId="3FE7AAC8" w14:textId="77777777" w:rsidR="00A63807" w:rsidRDefault="00000000">
      <w:pPr>
        <w:spacing w:after="100" w:line="259" w:lineRule="auto"/>
      </w:pPr>
      <w:r>
        <w:t>When interference is included, the relevant quantity is often SINR rather than SNR. Since the current ML core is decoupled from power allocation and SIC, the input feature named snr should retain the exact definition used by the data source and should not be silently reinterpreted as post-SIC SINR.</w:t>
      </w:r>
    </w:p>
    <w:tbl>
      <w:tblPr>
        <w:tblStyle w:val="TableGrid1"/>
        <w:tblW w:w="0" w:type="auto"/>
        <w:tblInd w:w="0" w:type="dxa"/>
        <w:tblCellMar>
          <w:top w:w="0" w:type="dxa"/>
          <w:left w:w="0" w:type="dxa"/>
          <w:bottom w:w="0" w:type="dxa"/>
          <w:right w:w="0" w:type="dxa"/>
        </w:tblCellMar>
        <w:tblLook w:val="04A0" w:firstRow="1" w:lastRow="0" w:firstColumn="1" w:lastColumn="0" w:noHBand="0" w:noVBand="1"/>
      </w:tblPr>
      <w:tblGrid>
        <w:gridCol w:w="3292"/>
        <w:gridCol w:w="3293"/>
        <w:gridCol w:w="3293"/>
      </w:tblGrid>
      <w:tr w:rsidR="00A63807" w14:paraId="56029067" w14:textId="77777777">
        <w:tblPrEx>
          <w:tblCellMar>
            <w:top w:w="0" w:type="dxa"/>
            <w:left w:w="0" w:type="dxa"/>
            <w:bottom w:w="0" w:type="dxa"/>
            <w:right w:w="0" w:type="dxa"/>
          </w:tblCellMar>
        </w:tblPrEx>
        <w:tc>
          <w:tcPr>
            <w:tcW w:w="3293" w:type="dxa"/>
            <w:shd w:val="clear" w:color="auto" w:fill="D9EAF7"/>
          </w:tcPr>
          <w:p w14:paraId="358FA2A8" w14:textId="77777777" w:rsidR="00A63807" w:rsidRDefault="00000000">
            <w:r>
              <w:rPr>
                <w:b/>
                <w:sz w:val="18"/>
              </w:rPr>
              <w:t>Symbol</w:t>
            </w:r>
          </w:p>
        </w:tc>
        <w:tc>
          <w:tcPr>
            <w:tcW w:w="3293" w:type="dxa"/>
            <w:shd w:val="clear" w:color="auto" w:fill="D9EAF7"/>
          </w:tcPr>
          <w:p w14:paraId="625FE55D" w14:textId="77777777" w:rsidR="00A63807" w:rsidRDefault="00000000">
            <w:r>
              <w:rPr>
                <w:b/>
                <w:sz w:val="18"/>
              </w:rPr>
              <w:t>Meaning</w:t>
            </w:r>
          </w:p>
        </w:tc>
        <w:tc>
          <w:tcPr>
            <w:tcW w:w="3293" w:type="dxa"/>
            <w:shd w:val="clear" w:color="auto" w:fill="D9EAF7"/>
          </w:tcPr>
          <w:p w14:paraId="13EF14ED" w14:textId="77777777" w:rsidR="00A63807" w:rsidRDefault="00000000">
            <w:r>
              <w:rPr>
                <w:b/>
                <w:sz w:val="18"/>
              </w:rPr>
              <w:t>Modeling note</w:t>
            </w:r>
          </w:p>
        </w:tc>
      </w:tr>
      <w:tr w:rsidR="00A63807" w14:paraId="0E9D374B" w14:textId="77777777">
        <w:tblPrEx>
          <w:tblCellMar>
            <w:top w:w="0" w:type="dxa"/>
            <w:left w:w="0" w:type="dxa"/>
            <w:bottom w:w="0" w:type="dxa"/>
            <w:right w:w="0" w:type="dxa"/>
          </w:tblCellMar>
        </w:tblPrEx>
        <w:tc>
          <w:tcPr>
            <w:tcW w:w="3293" w:type="dxa"/>
          </w:tcPr>
          <w:p w14:paraId="3B6AA41F" w14:textId="77777777" w:rsidR="00A63807" w:rsidRDefault="00000000">
            <w:pPr>
              <w:spacing w:after="40"/>
            </w:pPr>
            <w:r>
              <w:rPr>
                <w:sz w:val="17"/>
              </w:rPr>
              <w:t>dᵢ</w:t>
            </w:r>
          </w:p>
        </w:tc>
        <w:tc>
          <w:tcPr>
            <w:tcW w:w="3293" w:type="dxa"/>
          </w:tcPr>
          <w:p w14:paraId="052717E6" w14:textId="77777777" w:rsidR="00A63807" w:rsidRDefault="00000000">
            <w:pPr>
              <w:spacing w:after="40"/>
            </w:pPr>
            <w:r>
              <w:rPr>
                <w:sz w:val="17"/>
              </w:rPr>
              <w:t>Distance for user i</w:t>
            </w:r>
          </w:p>
        </w:tc>
        <w:tc>
          <w:tcPr>
            <w:tcW w:w="3293" w:type="dxa"/>
          </w:tcPr>
          <w:p w14:paraId="47CC95D7" w14:textId="77777777" w:rsidR="00A63807" w:rsidRDefault="00000000">
            <w:pPr>
              <w:spacing w:after="40"/>
            </w:pPr>
            <w:r>
              <w:rPr>
                <w:sz w:val="17"/>
              </w:rPr>
              <w:t>Units and reference point must be consistent</w:t>
            </w:r>
          </w:p>
        </w:tc>
      </w:tr>
      <w:tr w:rsidR="00A63807" w14:paraId="55DB0FAB" w14:textId="77777777">
        <w:tblPrEx>
          <w:tblCellMar>
            <w:top w:w="0" w:type="dxa"/>
            <w:left w:w="0" w:type="dxa"/>
            <w:bottom w:w="0" w:type="dxa"/>
            <w:right w:w="0" w:type="dxa"/>
          </w:tblCellMar>
        </w:tblPrEx>
        <w:tc>
          <w:tcPr>
            <w:tcW w:w="3293" w:type="dxa"/>
          </w:tcPr>
          <w:p w14:paraId="405EF816" w14:textId="77777777" w:rsidR="00A63807" w:rsidRDefault="00000000">
            <w:pPr>
              <w:spacing w:after="40"/>
            </w:pPr>
            <w:r>
              <w:rPr>
                <w:sz w:val="17"/>
              </w:rPr>
              <w:t>α</w:t>
            </w:r>
          </w:p>
        </w:tc>
        <w:tc>
          <w:tcPr>
            <w:tcW w:w="3293" w:type="dxa"/>
          </w:tcPr>
          <w:p w14:paraId="1660348B" w14:textId="77777777" w:rsidR="00A63807" w:rsidRDefault="00000000">
            <w:pPr>
              <w:spacing w:after="40"/>
            </w:pPr>
            <w:r>
              <w:rPr>
                <w:sz w:val="17"/>
              </w:rPr>
              <w:t>Path-loss exponent</w:t>
            </w:r>
          </w:p>
        </w:tc>
        <w:tc>
          <w:tcPr>
            <w:tcW w:w="3293" w:type="dxa"/>
          </w:tcPr>
          <w:p w14:paraId="03CC7617" w14:textId="77777777" w:rsidR="00A63807" w:rsidRDefault="00000000">
            <w:pPr>
              <w:spacing w:after="40"/>
            </w:pPr>
            <w:r>
              <w:rPr>
                <w:sz w:val="17"/>
              </w:rPr>
              <w:t>Environment-dependent parameter</w:t>
            </w:r>
          </w:p>
        </w:tc>
      </w:tr>
      <w:tr w:rsidR="00A63807" w14:paraId="4B120EE5" w14:textId="77777777">
        <w:tblPrEx>
          <w:tblCellMar>
            <w:top w:w="0" w:type="dxa"/>
            <w:left w:w="0" w:type="dxa"/>
            <w:bottom w:w="0" w:type="dxa"/>
            <w:right w:w="0" w:type="dxa"/>
          </w:tblCellMar>
        </w:tblPrEx>
        <w:tc>
          <w:tcPr>
            <w:tcW w:w="3293" w:type="dxa"/>
          </w:tcPr>
          <w:p w14:paraId="4FF4FF9E" w14:textId="77777777" w:rsidR="00A63807" w:rsidRDefault="00000000">
            <w:pPr>
              <w:spacing w:after="40"/>
            </w:pPr>
            <w:r>
              <w:rPr>
                <w:sz w:val="17"/>
              </w:rPr>
              <w:t>βᵢ</w:t>
            </w:r>
          </w:p>
        </w:tc>
        <w:tc>
          <w:tcPr>
            <w:tcW w:w="3293" w:type="dxa"/>
          </w:tcPr>
          <w:p w14:paraId="04FF2AD7" w14:textId="77777777" w:rsidR="00A63807" w:rsidRDefault="00000000">
            <w:pPr>
              <w:spacing w:after="40"/>
            </w:pPr>
            <w:r>
              <w:rPr>
                <w:sz w:val="17"/>
              </w:rPr>
              <w:t>Large-scale channel power factor</w:t>
            </w:r>
          </w:p>
        </w:tc>
        <w:tc>
          <w:tcPr>
            <w:tcW w:w="3293" w:type="dxa"/>
          </w:tcPr>
          <w:p w14:paraId="4C1B36CC" w14:textId="77777777" w:rsidR="00A63807" w:rsidRDefault="00000000">
            <w:pPr>
              <w:spacing w:after="40"/>
            </w:pPr>
            <w:r>
              <w:rPr>
                <w:sz w:val="17"/>
              </w:rPr>
              <w:t>May include path loss and shadowing</w:t>
            </w:r>
          </w:p>
        </w:tc>
      </w:tr>
      <w:tr w:rsidR="00A63807" w14:paraId="6166B970" w14:textId="77777777">
        <w:tblPrEx>
          <w:tblCellMar>
            <w:top w:w="0" w:type="dxa"/>
            <w:left w:w="0" w:type="dxa"/>
            <w:bottom w:w="0" w:type="dxa"/>
            <w:right w:w="0" w:type="dxa"/>
          </w:tblCellMar>
        </w:tblPrEx>
        <w:tc>
          <w:tcPr>
            <w:tcW w:w="3293" w:type="dxa"/>
          </w:tcPr>
          <w:p w14:paraId="0ED2386B" w14:textId="77777777" w:rsidR="00A63807" w:rsidRDefault="00000000">
            <w:pPr>
              <w:spacing w:after="40"/>
            </w:pPr>
            <w:r>
              <w:rPr>
                <w:sz w:val="17"/>
              </w:rPr>
              <w:t>gᵢ</w:t>
            </w:r>
          </w:p>
        </w:tc>
        <w:tc>
          <w:tcPr>
            <w:tcW w:w="3293" w:type="dxa"/>
          </w:tcPr>
          <w:p w14:paraId="31CB1074" w14:textId="77777777" w:rsidR="00A63807" w:rsidRDefault="00000000">
            <w:pPr>
              <w:spacing w:after="40"/>
            </w:pPr>
            <w:r>
              <w:rPr>
                <w:sz w:val="17"/>
              </w:rPr>
              <w:t>Small-scale complex fading</w:t>
            </w:r>
          </w:p>
        </w:tc>
        <w:tc>
          <w:tcPr>
            <w:tcW w:w="3293" w:type="dxa"/>
          </w:tcPr>
          <w:p w14:paraId="5642F2BA" w14:textId="77777777" w:rsidR="00A63807" w:rsidRDefault="00000000">
            <w:pPr>
              <w:spacing w:after="40"/>
            </w:pPr>
            <w:r>
              <w:rPr>
                <w:sz w:val="17"/>
              </w:rPr>
              <w:t>Rayleigh is one possible assumption</w:t>
            </w:r>
          </w:p>
        </w:tc>
      </w:tr>
      <w:tr w:rsidR="00A63807" w14:paraId="07364CE9" w14:textId="77777777">
        <w:tblPrEx>
          <w:tblCellMar>
            <w:top w:w="0" w:type="dxa"/>
            <w:left w:w="0" w:type="dxa"/>
            <w:bottom w:w="0" w:type="dxa"/>
            <w:right w:w="0" w:type="dxa"/>
          </w:tblCellMar>
        </w:tblPrEx>
        <w:tc>
          <w:tcPr>
            <w:tcW w:w="3293" w:type="dxa"/>
          </w:tcPr>
          <w:p w14:paraId="3CE4DECC" w14:textId="77777777" w:rsidR="00A63807" w:rsidRDefault="00000000">
            <w:pPr>
              <w:spacing w:after="40"/>
            </w:pPr>
            <w:r>
              <w:rPr>
                <w:sz w:val="17"/>
              </w:rPr>
              <w:t>hᵢ</w:t>
            </w:r>
          </w:p>
        </w:tc>
        <w:tc>
          <w:tcPr>
            <w:tcW w:w="3293" w:type="dxa"/>
          </w:tcPr>
          <w:p w14:paraId="3343FB2C" w14:textId="77777777" w:rsidR="00A63807" w:rsidRDefault="00000000">
            <w:pPr>
              <w:spacing w:after="40"/>
            </w:pPr>
            <w:r>
              <w:rPr>
                <w:sz w:val="17"/>
              </w:rPr>
              <w:t>True complex channel coefficient</w:t>
            </w:r>
          </w:p>
        </w:tc>
        <w:tc>
          <w:tcPr>
            <w:tcW w:w="3293" w:type="dxa"/>
          </w:tcPr>
          <w:p w14:paraId="52079043" w14:textId="77777777" w:rsidR="00A63807" w:rsidRDefault="00000000">
            <w:pPr>
              <w:spacing w:after="40"/>
            </w:pPr>
            <w:r>
              <w:rPr>
                <w:sz w:val="17"/>
              </w:rPr>
              <w:t>May be represented as √βᵢgᵢ</w:t>
            </w:r>
          </w:p>
        </w:tc>
      </w:tr>
      <w:tr w:rsidR="00A63807" w14:paraId="4AA90A2C" w14:textId="77777777">
        <w:tblPrEx>
          <w:tblCellMar>
            <w:top w:w="0" w:type="dxa"/>
            <w:left w:w="0" w:type="dxa"/>
            <w:bottom w:w="0" w:type="dxa"/>
            <w:right w:w="0" w:type="dxa"/>
          </w:tblCellMar>
        </w:tblPrEx>
        <w:tc>
          <w:tcPr>
            <w:tcW w:w="3293" w:type="dxa"/>
          </w:tcPr>
          <w:p w14:paraId="49312FB4" w14:textId="77777777" w:rsidR="00A63807" w:rsidRDefault="00000000">
            <w:pPr>
              <w:spacing w:after="40"/>
            </w:pPr>
            <w:r>
              <w:rPr>
                <w:sz w:val="17"/>
              </w:rPr>
              <w:t>ĥᵢ</w:t>
            </w:r>
          </w:p>
        </w:tc>
        <w:tc>
          <w:tcPr>
            <w:tcW w:w="3293" w:type="dxa"/>
          </w:tcPr>
          <w:p w14:paraId="7EFFFAE8" w14:textId="77777777" w:rsidR="00A63807" w:rsidRDefault="00000000">
            <w:pPr>
              <w:spacing w:after="40"/>
            </w:pPr>
            <w:r>
              <w:rPr>
                <w:sz w:val="17"/>
              </w:rPr>
              <w:t>Estimated complex channel coefficient</w:t>
            </w:r>
          </w:p>
        </w:tc>
        <w:tc>
          <w:tcPr>
            <w:tcW w:w="3293" w:type="dxa"/>
          </w:tcPr>
          <w:p w14:paraId="3D499369" w14:textId="77777777" w:rsidR="00A63807" w:rsidRDefault="00000000">
            <w:pPr>
              <w:spacing w:after="40"/>
            </w:pPr>
            <w:r>
              <w:rPr>
                <w:sz w:val="17"/>
              </w:rPr>
              <w:t>May be noisy or stale</w:t>
            </w:r>
          </w:p>
        </w:tc>
      </w:tr>
      <w:tr w:rsidR="00A63807" w14:paraId="5E284D60" w14:textId="77777777">
        <w:tblPrEx>
          <w:tblCellMar>
            <w:top w:w="0" w:type="dxa"/>
            <w:left w:w="0" w:type="dxa"/>
            <w:bottom w:w="0" w:type="dxa"/>
            <w:right w:w="0" w:type="dxa"/>
          </w:tblCellMar>
        </w:tblPrEx>
        <w:tc>
          <w:tcPr>
            <w:tcW w:w="3293" w:type="dxa"/>
          </w:tcPr>
          <w:p w14:paraId="51F80A75" w14:textId="77777777" w:rsidR="00A63807" w:rsidRDefault="00000000">
            <w:pPr>
              <w:spacing w:after="40"/>
            </w:pPr>
            <w:r>
              <w:rPr>
                <w:sz w:val="17"/>
              </w:rPr>
              <w:t>σ_n²</w:t>
            </w:r>
          </w:p>
        </w:tc>
        <w:tc>
          <w:tcPr>
            <w:tcW w:w="3293" w:type="dxa"/>
          </w:tcPr>
          <w:p w14:paraId="33B6077E" w14:textId="77777777" w:rsidR="00A63807" w:rsidRDefault="00000000">
            <w:pPr>
              <w:spacing w:after="40"/>
            </w:pPr>
            <w:r>
              <w:rPr>
                <w:sz w:val="17"/>
              </w:rPr>
              <w:t>Noise power/variance</w:t>
            </w:r>
          </w:p>
        </w:tc>
        <w:tc>
          <w:tcPr>
            <w:tcW w:w="3293" w:type="dxa"/>
          </w:tcPr>
          <w:p w14:paraId="694A3035" w14:textId="77777777" w:rsidR="00A63807" w:rsidRDefault="00000000">
            <w:pPr>
              <w:spacing w:after="40"/>
            </w:pPr>
            <w:r>
              <w:rPr>
                <w:sz w:val="17"/>
              </w:rPr>
              <w:t>Must match SNR convention</w:t>
            </w:r>
          </w:p>
        </w:tc>
      </w:tr>
      <w:tr w:rsidR="00A63807" w14:paraId="2F407B54" w14:textId="77777777">
        <w:tblPrEx>
          <w:tblCellMar>
            <w:top w:w="0" w:type="dxa"/>
            <w:left w:w="0" w:type="dxa"/>
            <w:bottom w:w="0" w:type="dxa"/>
            <w:right w:w="0" w:type="dxa"/>
          </w:tblCellMar>
        </w:tblPrEx>
        <w:tc>
          <w:tcPr>
            <w:tcW w:w="3293" w:type="dxa"/>
          </w:tcPr>
          <w:p w14:paraId="4B2D39D6" w14:textId="77777777" w:rsidR="00A63807" w:rsidRDefault="00000000">
            <w:pPr>
              <w:spacing w:after="40"/>
            </w:pPr>
            <w:r>
              <w:rPr>
                <w:sz w:val="17"/>
              </w:rPr>
              <w:t>γᵢ</w:t>
            </w:r>
          </w:p>
        </w:tc>
        <w:tc>
          <w:tcPr>
            <w:tcW w:w="3293" w:type="dxa"/>
          </w:tcPr>
          <w:p w14:paraId="2110980B" w14:textId="77777777" w:rsidR="00A63807" w:rsidRDefault="00000000">
            <w:pPr>
              <w:spacing w:after="40"/>
            </w:pPr>
            <w:r>
              <w:rPr>
                <w:sz w:val="17"/>
              </w:rPr>
              <w:t>SNR feature</w:t>
            </w:r>
          </w:p>
        </w:tc>
        <w:tc>
          <w:tcPr>
            <w:tcW w:w="3293" w:type="dxa"/>
          </w:tcPr>
          <w:p w14:paraId="14A5948C" w14:textId="77777777" w:rsidR="00A63807" w:rsidRDefault="00000000">
            <w:pPr>
              <w:spacing w:after="40"/>
            </w:pPr>
            <w:r>
              <w:rPr>
                <w:sz w:val="17"/>
              </w:rPr>
              <w:t>Exact source definition must be preserved</w:t>
            </w:r>
          </w:p>
        </w:tc>
      </w:tr>
    </w:tbl>
    <w:p w14:paraId="57C80F65" w14:textId="77777777" w:rsidR="00A63807" w:rsidRDefault="00A63807"/>
    <w:p w14:paraId="31037347" w14:textId="77777777" w:rsidR="00A63807" w:rsidRDefault="00000000">
      <w:pPr>
        <w:pStyle w:val="Heading21"/>
        <w:keepNext/>
      </w:pPr>
      <w:r>
        <w:t>2.2 Mathematical Formulation of Channel Estimation Error and CSI Uncertainty</w:t>
      </w:r>
    </w:p>
    <w:p w14:paraId="6C6A3F9C" w14:textId="77777777" w:rsidR="00A63807" w:rsidRDefault="00000000">
      <w:pPr>
        <w:spacing w:after="100" w:line="259" w:lineRule="auto"/>
      </w:pPr>
      <w:r>
        <w:t>Let the true channel coefficient for user i be hᵢ ∈ ℂ and its estimate be ĥᵢ ∈ ℂ. The estimation error is the complex residual between true and estimated values. The project’s uncertainty scalar is the squared magnitude of that residual:</w:t>
      </w:r>
    </w:p>
    <w:p w14:paraId="43173530" w14:textId="77777777" w:rsidR="00A63807" w:rsidRDefault="00000000">
      <w:pPr>
        <w:spacing w:after="140"/>
        <w:jc w:val="center"/>
      </w:pPr>
      <w:r>
        <w:rPr>
          <w:rFonts w:ascii="Cambria Math" w:hAnsi="Cambria Math"/>
          <w:i/>
        </w:rPr>
        <w:lastRenderedPageBreak/>
        <w:t>eᵢ = hᵢ − ĥᵢ</w:t>
      </w:r>
    </w:p>
    <w:p w14:paraId="6C605378" w14:textId="77777777" w:rsidR="00A63807" w:rsidRDefault="00000000">
      <w:pPr>
        <w:spacing w:after="140"/>
        <w:jc w:val="center"/>
      </w:pPr>
      <w:r>
        <w:rPr>
          <w:rFonts w:ascii="Cambria Math" w:hAnsi="Cambria Math"/>
          <w:i/>
        </w:rPr>
        <w:t>uᵢ = |eᵢ|² = eᵢeᵢ*</w:t>
      </w:r>
    </w:p>
    <w:p w14:paraId="466F050D" w14:textId="77777777" w:rsidR="00A63807" w:rsidRDefault="00000000">
      <w:pPr>
        <w:spacing w:after="100" w:line="259" w:lineRule="auto"/>
      </w:pPr>
      <w:r>
        <w:t>Writing hᵢ = hᵢ,R + jhᵢ,I and ĥᵢ = ĥᵢ,R + jĥᵢ,I gives:</w:t>
      </w:r>
    </w:p>
    <w:p w14:paraId="2C219146" w14:textId="77777777" w:rsidR="00A63807" w:rsidRDefault="00000000">
      <w:pPr>
        <w:spacing w:after="140"/>
        <w:jc w:val="center"/>
      </w:pPr>
      <w:r>
        <w:rPr>
          <w:rFonts w:ascii="Cambria Math" w:hAnsi="Cambria Math"/>
          <w:i/>
        </w:rPr>
        <w:t>eᵢ = (hᵢ,R − ĥᵢ,R) + j(hᵢ,I − ĥᵢ,I)</w:t>
      </w:r>
    </w:p>
    <w:p w14:paraId="1ECF0432" w14:textId="77777777" w:rsidR="00A63807" w:rsidRDefault="00000000">
      <w:pPr>
        <w:spacing w:after="140"/>
        <w:jc w:val="center"/>
      </w:pPr>
      <w:r>
        <w:rPr>
          <w:rFonts w:ascii="Cambria Math" w:hAnsi="Cambria Math"/>
          <w:i/>
        </w:rPr>
        <w:t>uᵢ = (hᵢ,R − ĥᵢ,R)² + (hᵢ,I − ĥᵢ,I)²</w:t>
      </w:r>
    </w:p>
    <w:p w14:paraId="06E0BCDF" w14:textId="77777777" w:rsidR="00A63807" w:rsidRDefault="00000000">
      <w:pPr>
        <w:spacing w:after="100" w:line="259" w:lineRule="auto"/>
      </w:pPr>
      <w:r>
        <w:t>The conjugate product eᵢeᵢ* removes imaginary cross terms and yields a real, non-negative scalar. If the estimate is exact, uᵢ = 0; if either component differs, uᵢ &gt; 0. The scalar depends on the scale of hᵢ, so channel normalization must be documented when thresholds are compared across datasets.</w:t>
      </w:r>
    </w:p>
    <w:p w14:paraId="76BA6E28" w14:textId="77777777" w:rsidR="00A63807" w:rsidRDefault="00000000">
      <w:pPr>
        <w:spacing w:after="100" w:line="259" w:lineRule="auto"/>
      </w:pPr>
      <w:r>
        <w:t>Across N users, uncertainty is the vector u = [u₁,…,u_N]ᵀ. The scenario mean ū = (1/N)Σᵢuᵢ is useful for diagnostics, but it should not replace per-user values in the node matrix because that would erase user-level heterogeneity.</w:t>
      </w:r>
    </w:p>
    <w:p w14:paraId="6920E8BE" w14:textId="77777777" w:rsidR="00A63807" w:rsidRDefault="00000000">
      <w:pPr>
        <w:spacing w:after="140"/>
        <w:jc w:val="center"/>
      </w:pPr>
      <w:r>
        <w:rPr>
          <w:rFonts w:ascii="Cambria Math" w:hAnsi="Cambria Math"/>
          <w:i/>
        </w:rPr>
        <w:t>ū = (1/N) Σᵢ₌₁ᴺ uᵢ</w:t>
      </w:r>
    </w:p>
    <w:p w14:paraId="2E8DB6BD" w14:textId="77777777" w:rsidR="00A63807" w:rsidRDefault="00000000">
      <w:pPr>
        <w:spacing w:after="100" w:line="259" w:lineRule="auto"/>
      </w:pPr>
      <w:r>
        <w:t>For a simple estimation model, let ĥᵢ = hᵢ + εᵢ, where εᵢ is estimation noise. Then eᵢ = −εᵢ and uᵢ = |εᵢ|². If εᵢ is zero-mean complex Gaussian with variance σ_ε² under the convention E[|εᵢ|²] = σ_ε², the expected squared error is E[uᵢ] = σ_ε². This relation explains the interpretation of squared error as error energy; the project’s definition does not require Gaussian estimation noise.</w:t>
      </w:r>
    </w:p>
    <w:p w14:paraId="0DA831DA" w14:textId="77777777" w:rsidR="00A63807" w:rsidRDefault="00000000">
      <w:pPr>
        <w:spacing w:after="100" w:line="259" w:lineRule="auto"/>
      </w:pPr>
      <w:r>
        <w:t>A deployment caveat is important: exact |hᵢ − ĥᵢ|² requires true hᵢ. In a dataset, true and estimated channels may both be available. In a live system, the true channel is not directly observable, so a production implementation must replace the exact error with a measurable proxy or an estimator of uncertainty. This limitation should be documented rather than implying that the feature is always directly observable.</w:t>
      </w:r>
    </w:p>
    <w:tbl>
      <w:tblPr>
        <w:tblStyle w:val="TableGrid1"/>
        <w:tblW w:w="0" w:type="auto"/>
        <w:tblInd w:w="0" w:type="dxa"/>
        <w:tblCellMar>
          <w:top w:w="0" w:type="dxa"/>
          <w:left w:w="0" w:type="dxa"/>
          <w:bottom w:w="0" w:type="dxa"/>
          <w:right w:w="0" w:type="dxa"/>
        </w:tblCellMar>
        <w:tblLook w:val="04A0" w:firstRow="1" w:lastRow="0" w:firstColumn="1" w:lastColumn="0" w:noHBand="0" w:noVBand="1"/>
      </w:tblPr>
      <w:tblGrid>
        <w:gridCol w:w="3292"/>
        <w:gridCol w:w="3293"/>
        <w:gridCol w:w="3293"/>
      </w:tblGrid>
      <w:tr w:rsidR="00A63807" w14:paraId="07FDD8CD" w14:textId="77777777">
        <w:tblPrEx>
          <w:tblCellMar>
            <w:top w:w="0" w:type="dxa"/>
            <w:left w:w="0" w:type="dxa"/>
            <w:bottom w:w="0" w:type="dxa"/>
            <w:right w:w="0" w:type="dxa"/>
          </w:tblCellMar>
        </w:tblPrEx>
        <w:tc>
          <w:tcPr>
            <w:tcW w:w="3293" w:type="dxa"/>
            <w:shd w:val="clear" w:color="auto" w:fill="D9EAF7"/>
          </w:tcPr>
          <w:p w14:paraId="088D2CB9" w14:textId="77777777" w:rsidR="00A63807" w:rsidRDefault="00000000">
            <w:r>
              <w:rPr>
                <w:b/>
                <w:sz w:val="18"/>
              </w:rPr>
              <w:t>Quantity</w:t>
            </w:r>
          </w:p>
        </w:tc>
        <w:tc>
          <w:tcPr>
            <w:tcW w:w="3293" w:type="dxa"/>
            <w:shd w:val="clear" w:color="auto" w:fill="D9EAF7"/>
          </w:tcPr>
          <w:p w14:paraId="2AF97559" w14:textId="77777777" w:rsidR="00A63807" w:rsidRDefault="00000000">
            <w:r>
              <w:rPr>
                <w:b/>
                <w:sz w:val="18"/>
              </w:rPr>
              <w:t>Definition</w:t>
            </w:r>
          </w:p>
        </w:tc>
        <w:tc>
          <w:tcPr>
            <w:tcW w:w="3293" w:type="dxa"/>
            <w:shd w:val="clear" w:color="auto" w:fill="D9EAF7"/>
          </w:tcPr>
          <w:p w14:paraId="3F179D64" w14:textId="77777777" w:rsidR="00A63807" w:rsidRDefault="00000000">
            <w:r>
              <w:rPr>
                <w:b/>
                <w:sz w:val="18"/>
              </w:rPr>
              <w:t>Role</w:t>
            </w:r>
          </w:p>
        </w:tc>
      </w:tr>
      <w:tr w:rsidR="00A63807" w14:paraId="1ADA4B71" w14:textId="77777777">
        <w:tblPrEx>
          <w:tblCellMar>
            <w:top w:w="0" w:type="dxa"/>
            <w:left w:w="0" w:type="dxa"/>
            <w:bottom w:w="0" w:type="dxa"/>
            <w:right w:w="0" w:type="dxa"/>
          </w:tblCellMar>
        </w:tblPrEx>
        <w:tc>
          <w:tcPr>
            <w:tcW w:w="3293" w:type="dxa"/>
          </w:tcPr>
          <w:p w14:paraId="3072F149" w14:textId="77777777" w:rsidR="00A63807" w:rsidRDefault="00000000">
            <w:pPr>
              <w:spacing w:after="40"/>
            </w:pPr>
            <w:r>
              <w:rPr>
                <w:sz w:val="17"/>
              </w:rPr>
              <w:t>True CSI</w:t>
            </w:r>
          </w:p>
        </w:tc>
        <w:tc>
          <w:tcPr>
            <w:tcW w:w="3293" w:type="dxa"/>
          </w:tcPr>
          <w:p w14:paraId="449F5BEE" w14:textId="77777777" w:rsidR="00A63807" w:rsidRDefault="00000000">
            <w:pPr>
              <w:spacing w:after="40"/>
            </w:pPr>
            <w:r>
              <w:rPr>
                <w:sz w:val="17"/>
              </w:rPr>
              <w:t>hᵢ = hᵢ,R + jhᵢ,I</w:t>
            </w:r>
          </w:p>
        </w:tc>
        <w:tc>
          <w:tcPr>
            <w:tcW w:w="3293" w:type="dxa"/>
          </w:tcPr>
          <w:p w14:paraId="30968E35" w14:textId="77777777" w:rsidR="00A63807" w:rsidRDefault="00000000">
            <w:pPr>
              <w:spacing w:after="40"/>
            </w:pPr>
            <w:r>
              <w:rPr>
                <w:sz w:val="17"/>
              </w:rPr>
              <w:t>Reference channel in dataset</w:t>
            </w:r>
          </w:p>
        </w:tc>
      </w:tr>
      <w:tr w:rsidR="00A63807" w14:paraId="5D1B19A6" w14:textId="77777777">
        <w:tblPrEx>
          <w:tblCellMar>
            <w:top w:w="0" w:type="dxa"/>
            <w:left w:w="0" w:type="dxa"/>
            <w:bottom w:w="0" w:type="dxa"/>
            <w:right w:w="0" w:type="dxa"/>
          </w:tblCellMar>
        </w:tblPrEx>
        <w:tc>
          <w:tcPr>
            <w:tcW w:w="3293" w:type="dxa"/>
          </w:tcPr>
          <w:p w14:paraId="438CECC4" w14:textId="77777777" w:rsidR="00A63807" w:rsidRDefault="00000000">
            <w:pPr>
              <w:spacing w:after="40"/>
            </w:pPr>
            <w:r>
              <w:rPr>
                <w:sz w:val="17"/>
              </w:rPr>
              <w:t>Estimated CSI</w:t>
            </w:r>
          </w:p>
        </w:tc>
        <w:tc>
          <w:tcPr>
            <w:tcW w:w="3293" w:type="dxa"/>
          </w:tcPr>
          <w:p w14:paraId="1063F652" w14:textId="77777777" w:rsidR="00A63807" w:rsidRDefault="00000000">
            <w:pPr>
              <w:spacing w:after="40"/>
            </w:pPr>
            <w:r>
              <w:rPr>
                <w:sz w:val="17"/>
              </w:rPr>
              <w:t>ĥᵢ = ĥᵢ,R + jĥᵢ,I</w:t>
            </w:r>
          </w:p>
        </w:tc>
        <w:tc>
          <w:tcPr>
            <w:tcW w:w="3293" w:type="dxa"/>
          </w:tcPr>
          <w:p w14:paraId="65ED5678" w14:textId="77777777" w:rsidR="00A63807" w:rsidRDefault="00000000">
            <w:pPr>
              <w:spacing w:after="40"/>
            </w:pPr>
            <w:r>
              <w:rPr>
                <w:sz w:val="17"/>
              </w:rPr>
              <w:t>Imperfect observation</w:t>
            </w:r>
          </w:p>
        </w:tc>
      </w:tr>
      <w:tr w:rsidR="00A63807" w14:paraId="3BC6A8F2" w14:textId="77777777">
        <w:tblPrEx>
          <w:tblCellMar>
            <w:top w:w="0" w:type="dxa"/>
            <w:left w:w="0" w:type="dxa"/>
            <w:bottom w:w="0" w:type="dxa"/>
            <w:right w:w="0" w:type="dxa"/>
          </w:tblCellMar>
        </w:tblPrEx>
        <w:tc>
          <w:tcPr>
            <w:tcW w:w="3293" w:type="dxa"/>
          </w:tcPr>
          <w:p w14:paraId="73B3F042" w14:textId="77777777" w:rsidR="00A63807" w:rsidRDefault="00000000">
            <w:pPr>
              <w:spacing w:after="40"/>
            </w:pPr>
            <w:r>
              <w:rPr>
                <w:sz w:val="17"/>
              </w:rPr>
              <w:t>CSI error</w:t>
            </w:r>
          </w:p>
        </w:tc>
        <w:tc>
          <w:tcPr>
            <w:tcW w:w="3293" w:type="dxa"/>
          </w:tcPr>
          <w:p w14:paraId="591516F3" w14:textId="77777777" w:rsidR="00A63807" w:rsidRDefault="00000000">
            <w:pPr>
              <w:spacing w:after="40"/>
            </w:pPr>
            <w:r>
              <w:rPr>
                <w:sz w:val="17"/>
              </w:rPr>
              <w:t>eᵢ = hᵢ − ĥᵢ</w:t>
            </w:r>
          </w:p>
        </w:tc>
        <w:tc>
          <w:tcPr>
            <w:tcW w:w="3293" w:type="dxa"/>
          </w:tcPr>
          <w:p w14:paraId="191E559A" w14:textId="77777777" w:rsidR="00A63807" w:rsidRDefault="00000000">
            <w:pPr>
              <w:spacing w:after="40"/>
            </w:pPr>
            <w:r>
              <w:rPr>
                <w:sz w:val="17"/>
              </w:rPr>
              <w:t>Complex residual</w:t>
            </w:r>
          </w:p>
        </w:tc>
      </w:tr>
      <w:tr w:rsidR="00A63807" w14:paraId="6D2D2673" w14:textId="77777777">
        <w:tblPrEx>
          <w:tblCellMar>
            <w:top w:w="0" w:type="dxa"/>
            <w:left w:w="0" w:type="dxa"/>
            <w:bottom w:w="0" w:type="dxa"/>
            <w:right w:w="0" w:type="dxa"/>
          </w:tblCellMar>
        </w:tblPrEx>
        <w:tc>
          <w:tcPr>
            <w:tcW w:w="3293" w:type="dxa"/>
          </w:tcPr>
          <w:p w14:paraId="4F4C2800" w14:textId="77777777" w:rsidR="00A63807" w:rsidRDefault="00000000">
            <w:pPr>
              <w:spacing w:after="40"/>
            </w:pPr>
            <w:r>
              <w:rPr>
                <w:sz w:val="17"/>
              </w:rPr>
              <w:t>CSI uncertainty</w:t>
            </w:r>
          </w:p>
        </w:tc>
        <w:tc>
          <w:tcPr>
            <w:tcW w:w="3293" w:type="dxa"/>
          </w:tcPr>
          <w:p w14:paraId="37A76AE8" w14:textId="77777777" w:rsidR="00A63807" w:rsidRDefault="00000000">
            <w:pPr>
              <w:spacing w:after="40"/>
            </w:pPr>
            <w:r>
              <w:rPr>
                <w:sz w:val="17"/>
              </w:rPr>
              <w:t>uᵢ = |eᵢ|²</w:t>
            </w:r>
          </w:p>
        </w:tc>
        <w:tc>
          <w:tcPr>
            <w:tcW w:w="3293" w:type="dxa"/>
          </w:tcPr>
          <w:p w14:paraId="2CBD1721" w14:textId="77777777" w:rsidR="00A63807" w:rsidRDefault="00000000">
            <w:pPr>
              <w:spacing w:after="40"/>
            </w:pPr>
            <w:r>
              <w:rPr>
                <w:sz w:val="17"/>
              </w:rPr>
              <w:t>Node feature and pseudo-label gate</w:t>
            </w:r>
          </w:p>
        </w:tc>
      </w:tr>
      <w:tr w:rsidR="00A63807" w14:paraId="5E7562B1" w14:textId="77777777">
        <w:tblPrEx>
          <w:tblCellMar>
            <w:top w:w="0" w:type="dxa"/>
            <w:left w:w="0" w:type="dxa"/>
            <w:bottom w:w="0" w:type="dxa"/>
            <w:right w:w="0" w:type="dxa"/>
          </w:tblCellMar>
        </w:tblPrEx>
        <w:tc>
          <w:tcPr>
            <w:tcW w:w="3293" w:type="dxa"/>
          </w:tcPr>
          <w:p w14:paraId="78290555" w14:textId="77777777" w:rsidR="00A63807" w:rsidRDefault="00000000">
            <w:pPr>
              <w:spacing w:after="40"/>
            </w:pPr>
            <w:r>
              <w:rPr>
                <w:sz w:val="17"/>
              </w:rPr>
              <w:t>Confidence</w:t>
            </w:r>
          </w:p>
        </w:tc>
        <w:tc>
          <w:tcPr>
            <w:tcW w:w="3293" w:type="dxa"/>
          </w:tcPr>
          <w:p w14:paraId="58BE7BF3" w14:textId="77777777" w:rsidR="00A63807" w:rsidRDefault="00000000">
            <w:pPr>
              <w:spacing w:after="40"/>
            </w:pPr>
            <w:r>
              <w:rPr>
                <w:sz w:val="17"/>
              </w:rPr>
              <w:t>sᵢ = max_c pᵢ,c</w:t>
            </w:r>
          </w:p>
        </w:tc>
        <w:tc>
          <w:tcPr>
            <w:tcW w:w="3293" w:type="dxa"/>
          </w:tcPr>
          <w:p w14:paraId="1EA5ECAD" w14:textId="77777777" w:rsidR="00A63807" w:rsidRDefault="00000000">
            <w:pPr>
              <w:spacing w:after="40"/>
            </w:pPr>
            <w:r>
              <w:rPr>
                <w:sz w:val="17"/>
              </w:rPr>
              <w:t>Model-derived probability confidence</w:t>
            </w:r>
          </w:p>
        </w:tc>
      </w:tr>
      <w:tr w:rsidR="00A63807" w14:paraId="259195D3" w14:textId="77777777">
        <w:tblPrEx>
          <w:tblCellMar>
            <w:top w:w="0" w:type="dxa"/>
            <w:left w:w="0" w:type="dxa"/>
            <w:bottom w:w="0" w:type="dxa"/>
            <w:right w:w="0" w:type="dxa"/>
          </w:tblCellMar>
        </w:tblPrEx>
        <w:tc>
          <w:tcPr>
            <w:tcW w:w="3293" w:type="dxa"/>
          </w:tcPr>
          <w:p w14:paraId="585802D5" w14:textId="77777777" w:rsidR="00A63807" w:rsidRDefault="00000000">
            <w:pPr>
              <w:spacing w:after="40"/>
            </w:pPr>
            <w:r>
              <w:rPr>
                <w:sz w:val="17"/>
              </w:rPr>
              <w:t>Acceptance</w:t>
            </w:r>
          </w:p>
        </w:tc>
        <w:tc>
          <w:tcPr>
            <w:tcW w:w="3293" w:type="dxa"/>
          </w:tcPr>
          <w:p w14:paraId="437179C0" w14:textId="77777777" w:rsidR="00A63807" w:rsidRDefault="00000000">
            <w:pPr>
              <w:spacing w:after="40"/>
            </w:pPr>
            <w:r>
              <w:rPr>
                <w:sz w:val="17"/>
              </w:rPr>
              <w:t>sᵢ ≥ 0.90 and uᵢ ≤ τᵤ</w:t>
            </w:r>
          </w:p>
        </w:tc>
        <w:tc>
          <w:tcPr>
            <w:tcW w:w="3293" w:type="dxa"/>
          </w:tcPr>
          <w:p w14:paraId="73588274" w14:textId="77777777" w:rsidR="00A63807" w:rsidRDefault="00000000">
            <w:pPr>
              <w:spacing w:after="40"/>
            </w:pPr>
            <w:r>
              <w:rPr>
                <w:sz w:val="17"/>
              </w:rPr>
              <w:t>Dual filter for unlabeled targets</w:t>
            </w:r>
          </w:p>
        </w:tc>
      </w:tr>
    </w:tbl>
    <w:p w14:paraId="5D2D98E4" w14:textId="77777777" w:rsidR="00A63807" w:rsidRDefault="00A63807"/>
    <w:p w14:paraId="394F497B" w14:textId="77777777" w:rsidR="00A63807" w:rsidRDefault="00000000">
      <w:pPr>
        <w:spacing w:after="100" w:line="259" w:lineRule="auto"/>
      </w:pPr>
      <w:r>
        <w:t>Figure 2.1 (recommended): plot true and estimated channel values as points in the complex plane, draw residual vector eᵢ between them, and annotate its squared length as uᵢ = |eᵢ|².</w:t>
      </w:r>
    </w:p>
    <w:p w14:paraId="31C2C7AE" w14:textId="77777777" w:rsidR="00A63807" w:rsidRDefault="00000000">
      <w:pPr>
        <w:pStyle w:val="Heading21"/>
        <w:keepNext/>
      </w:pPr>
      <w:r>
        <w:t>2.3 Graph Formulation of Wireless Cellular Topologies</w:t>
      </w:r>
    </w:p>
    <w:p w14:paraId="18732971" w14:textId="77777777" w:rsidR="00A63807" w:rsidRDefault="00000000">
      <w:pPr>
        <w:spacing w:after="100" w:line="259" w:lineRule="auto"/>
      </w:pPr>
      <w:r>
        <w:t>A scenario is represented as G = (V,E,X,A), where V is the set of user nodes, E is the edge set, X is the node-feature matrix, and A contains edge weights or attributes. For scenario s with N_s users and F features, X_s ∈ ℝ^(N_s×F). With seven base features plus uncertainty, F = 8 when all specified columns are available.</w:t>
      </w:r>
    </w:p>
    <w:p w14:paraId="1509959E" w14:textId="77777777" w:rsidR="00A63807" w:rsidRDefault="00000000">
      <w:pPr>
        <w:spacing w:after="140"/>
        <w:jc w:val="center"/>
      </w:pPr>
      <w:r>
        <w:rPr>
          <w:rFonts w:ascii="Cambria Math" w:hAnsi="Cambria Math"/>
          <w:i/>
        </w:rPr>
        <w:t>G_s = (V_s,E_s,X_s,A_s),       X_s ∈ ℝ^(N_s×F)</w:t>
      </w:r>
    </w:p>
    <w:p w14:paraId="2BBD7F67" w14:textId="77777777" w:rsidR="00A63807" w:rsidRDefault="00000000">
      <w:pPr>
        <w:spacing w:after="100" w:line="259" w:lineRule="auto"/>
      </w:pPr>
      <w:r>
        <w:t>Each node represents a wireless user, not a resource block or base station. An edge represents a selected relationship, such as channel similarity or spatial proximity. Graph construction is an inductive bias defining which users exchange information during message passing, not merely a visualization step.</w:t>
      </w:r>
    </w:p>
    <w:p w14:paraId="1FCD6451" w14:textId="77777777" w:rsidR="00A63807" w:rsidRDefault="00000000">
      <w:pPr>
        <w:spacing w:after="100" w:line="259" w:lineRule="auto"/>
      </w:pPr>
      <w:r>
        <w:t>For a k-nearest-neighbor graph, a distance δ(qᵢ,qⱼ) is computed on a selected representation q. The four nearest non-self users are selected under the configured k = 4. If directed neighbor relations are symmetrized, the implementation should state whether it uses a union rule or mutual kNN; the resulting connectivity differs.</w:t>
      </w:r>
    </w:p>
    <w:p w14:paraId="258E3F5C" w14:textId="77777777" w:rsidR="00A63807" w:rsidRDefault="00000000">
      <w:pPr>
        <w:spacing w:after="140"/>
        <w:jc w:val="center"/>
      </w:pPr>
      <w:r>
        <w:rPr>
          <w:rFonts w:ascii="Cambria Math" w:hAnsi="Cambria Math"/>
          <w:i/>
        </w:rPr>
        <w:t>N_k(i) = arg top-k_{j ≠ i} [−δ(qᵢ,qⱼ)]</w:t>
      </w:r>
    </w:p>
    <w:p w14:paraId="5D216E48" w14:textId="77777777" w:rsidR="00A63807" w:rsidRDefault="00000000">
      <w:pPr>
        <w:spacing w:after="100" w:line="259" w:lineRule="auto"/>
      </w:pPr>
      <w:r>
        <w:lastRenderedPageBreak/>
        <w:t>A Gaussian similarity graph converts distance into non-negative edge weights:</w:t>
      </w:r>
    </w:p>
    <w:p w14:paraId="6690B365" w14:textId="77777777" w:rsidR="00A63807" w:rsidRDefault="00000000">
      <w:pPr>
        <w:spacing w:after="140"/>
        <w:jc w:val="center"/>
      </w:pPr>
      <w:r>
        <w:rPr>
          <w:rFonts w:ascii="Cambria Math" w:hAnsi="Cambria Math"/>
          <w:i/>
        </w:rPr>
        <w:t>wᵢⱼ = exp(−δ(qᵢ,qⱼ)² / (2σ²))</w:t>
      </w:r>
    </w:p>
    <w:p w14:paraId="583F1177" w14:textId="77777777" w:rsidR="00A63807" w:rsidRDefault="00000000">
      <w:pPr>
        <w:spacing w:after="100" w:line="259" w:lineRule="auto"/>
      </w:pPr>
      <w:r>
        <w:t>Here σ &gt; 0 is a bandwidth parameter. Small σ makes weights decay rapidly with distance; large σ produces less differentiated weights. A fully connected graph links all distinct user pairs, giving N(N−1) directed edges or N(N−1)/2 undirected edges before self-loop handling. For N = 20, this is 380 directed or 190 undirected edges.</w:t>
      </w:r>
    </w:p>
    <w:p w14:paraId="068DF207" w14:textId="77777777" w:rsidR="00A63807" w:rsidRDefault="00000000">
      <w:pPr>
        <w:spacing w:after="100" w:line="259" w:lineRule="auto"/>
      </w:pPr>
      <w:r>
        <w:t>Graph topology affects computation and the signal available to the GNN. Sparse kNN limits aggregation to local neighbors and can reduce noise from weakly related users, but may omit useful relationships if the metric is poor. Gaussian weights preserve graded similarity but depend on feature scaling and bandwidth. Fully connected graphs expose global context but may blur local structure and increase message cost. Topology should therefore be treated as an experimental design parameter.</w:t>
      </w:r>
    </w:p>
    <w:p w14:paraId="0E8AAA52" w14:textId="77777777" w:rsidR="00A63807" w:rsidRDefault="00000000">
      <w:pPr>
        <w:pStyle w:val="Heading21"/>
        <w:keepNext/>
      </w:pPr>
      <w:r>
        <w:t>2.4 Graph Neural Network Mechanics: Spatial Message Passing, GraphSAGE, GCN, and GAT</w:t>
      </w:r>
    </w:p>
    <w:p w14:paraId="78B4D2F8" w14:textId="77777777" w:rsidR="00A63807" w:rsidRDefault="00000000">
      <w:pPr>
        <w:spacing w:after="100" w:line="259" w:lineRule="auto"/>
      </w:pPr>
      <w:r>
        <w:t>A GNN repeatedly combines a node’s current representation with information aggregated from neighbors. Let hᵢ⁽⁰⁾ = xᵢ. At layer ℓ, a generic message-passing update is:</w:t>
      </w:r>
    </w:p>
    <w:p w14:paraId="4C0E635D" w14:textId="77777777" w:rsidR="00A63807" w:rsidRDefault="00000000">
      <w:pPr>
        <w:spacing w:after="140"/>
        <w:jc w:val="center"/>
      </w:pPr>
      <w:r>
        <w:rPr>
          <w:rFonts w:ascii="Cambria Math" w:hAnsi="Cambria Math"/>
          <w:i/>
        </w:rPr>
        <w:t>mᵢ⁽ˡ⁾ = AGG_{j∈N(i)} φ(hᵢ⁽ˡ⁾,hⱼ⁽ˡ⁾,aᵢⱼ)</w:t>
      </w:r>
    </w:p>
    <w:p w14:paraId="5F06B695" w14:textId="77777777" w:rsidR="00A63807" w:rsidRDefault="00000000">
      <w:pPr>
        <w:spacing w:after="140"/>
        <w:jc w:val="center"/>
      </w:pPr>
      <w:r>
        <w:rPr>
          <w:rFonts w:ascii="Cambria Math" w:hAnsi="Cambria Math"/>
          <w:i/>
        </w:rPr>
        <w:t>hᵢ⁽ˡ⁺¹⁾ = UPDATE(hᵢ⁽ˡ⁾,mᵢ⁽ˡ⁾)</w:t>
      </w:r>
    </w:p>
    <w:p w14:paraId="1F975D21" w14:textId="77777777" w:rsidR="00A63807" w:rsidRDefault="00000000">
      <w:pPr>
        <w:spacing w:after="100" w:line="259" w:lineRule="auto"/>
      </w:pPr>
      <w:r>
        <w:t>Here aᵢⱼ is an optional edge attribute, AGG is permutation-invariant, and UPDATE combines the node’s current representation with aggregated messages. The final embedding summarizes node features and information propagated through the graph.</w:t>
      </w:r>
    </w:p>
    <w:p w14:paraId="0CDC7D27" w14:textId="77777777" w:rsidR="00A63807" w:rsidRDefault="00000000">
      <w:pPr>
        <w:pStyle w:val="Heading31"/>
        <w:keepNext/>
      </w:pPr>
      <w:r>
        <w:t>GraphSAGE</w:t>
      </w:r>
    </w:p>
    <w:p w14:paraId="01BA038F" w14:textId="77777777" w:rsidR="00A63807" w:rsidRDefault="00000000">
      <w:pPr>
        <w:spacing w:after="100" w:line="259" w:lineRule="auto"/>
      </w:pPr>
      <w:r>
        <w:t>GraphSAGE learns a neighborhood aggregation function and is suited to inductive settings where new nodes or graphs may appear. A simplified mean-aggregator form is:</w:t>
      </w:r>
    </w:p>
    <w:p w14:paraId="582735E0" w14:textId="77777777" w:rsidR="00A63807" w:rsidRDefault="00000000">
      <w:pPr>
        <w:spacing w:after="140"/>
        <w:jc w:val="center"/>
      </w:pPr>
      <w:r>
        <w:rPr>
          <w:rFonts w:ascii="Cambria Math" w:hAnsi="Cambria Math"/>
          <w:i/>
        </w:rPr>
        <w:t>h_{N(i)}⁽ˡ⁾ = MEAN({hⱼ⁽ˡ⁾ : j∈N(i)})</w:t>
      </w:r>
    </w:p>
    <w:p w14:paraId="734AC3AB" w14:textId="77777777" w:rsidR="00A63807" w:rsidRDefault="00000000">
      <w:pPr>
        <w:spacing w:after="140"/>
        <w:jc w:val="center"/>
      </w:pPr>
      <w:r>
        <w:rPr>
          <w:rFonts w:ascii="Cambria Math" w:hAnsi="Cambria Math"/>
          <w:i/>
        </w:rPr>
        <w:t>hᵢ⁽ˡ⁺¹⁾ = σ(W⁽ˡ⁾ · CONCAT(hᵢ⁽ˡ⁾,h_{N(i)}⁽ˡ⁾))</w:t>
      </w:r>
    </w:p>
    <w:p w14:paraId="16415A2E" w14:textId="77777777" w:rsidR="00A63807" w:rsidRDefault="00000000">
      <w:pPr>
        <w:spacing w:after="100" w:line="259" w:lineRule="auto"/>
      </w:pPr>
      <w:r>
        <w:t>Exact PyG implementations can use different parameterization or aggregators. The project uses GraphSAGE by default, with three message-passing layers, ReLU, dropout probability 0.2, node embeddings, and a linear classification head.</w:t>
      </w:r>
    </w:p>
    <w:p w14:paraId="642D4F48" w14:textId="77777777" w:rsidR="00A63807" w:rsidRDefault="00000000">
      <w:pPr>
        <w:pStyle w:val="Heading31"/>
        <w:keepNext/>
      </w:pPr>
      <w:r>
        <w:t>Graph Convolutional Network (GCN)</w:t>
      </w:r>
    </w:p>
    <w:p w14:paraId="39475C51" w14:textId="77777777" w:rsidR="00A63807" w:rsidRDefault="00000000">
      <w:pPr>
        <w:spacing w:after="140"/>
        <w:jc w:val="center"/>
      </w:pPr>
      <w:r>
        <w:rPr>
          <w:rFonts w:ascii="Cambria Math" w:hAnsi="Cambria Math"/>
          <w:i/>
        </w:rPr>
        <w:t>H⁽ˡ⁺¹⁾ = σ(D̃^(−1/2) Ã D̃^(−1/2) H⁽ˡ⁾ W⁽ˡ⁾)</w:t>
      </w:r>
    </w:p>
    <w:p w14:paraId="01AD5D21" w14:textId="77777777" w:rsidR="00A63807" w:rsidRDefault="00000000">
      <w:pPr>
        <w:spacing w:after="100" w:line="259" w:lineRule="auto"/>
      </w:pPr>
      <w:r>
        <w:t>Here Ã = A + I adds self-loops and D̃ is the degree matrix. Normalization controls neighborhood contribution scale. GCN is a useful comparison against GraphSAGE.</w:t>
      </w:r>
    </w:p>
    <w:p w14:paraId="72DA7C53" w14:textId="77777777" w:rsidR="00A63807" w:rsidRDefault="00000000">
      <w:pPr>
        <w:pStyle w:val="Heading31"/>
        <w:keepNext/>
      </w:pPr>
      <w:r>
        <w:t>Graph Attention Network (GAT)</w:t>
      </w:r>
    </w:p>
    <w:p w14:paraId="42E064FB" w14:textId="77777777" w:rsidR="00A63807" w:rsidRDefault="00000000">
      <w:pPr>
        <w:spacing w:after="140"/>
        <w:jc w:val="center"/>
      </w:pPr>
      <w:r>
        <w:rPr>
          <w:rFonts w:ascii="Cambria Math" w:hAnsi="Cambria Math"/>
          <w:i/>
        </w:rPr>
        <w:t>αᵢⱼ = softmax_{j∈N(i)∪{i}}(LeakyReLU(aᵀ[Whᵢ || Whⱼ]))</w:t>
      </w:r>
    </w:p>
    <w:p w14:paraId="358EC016" w14:textId="77777777" w:rsidR="00A63807" w:rsidRDefault="00000000">
      <w:pPr>
        <w:spacing w:after="140"/>
        <w:jc w:val="center"/>
      </w:pPr>
      <w:r>
        <w:rPr>
          <w:rFonts w:ascii="Cambria Math" w:hAnsi="Cambria Math"/>
          <w:i/>
        </w:rPr>
        <w:t>hᵢ' = σ(Σ_{j∈N(i)∪{i}} αᵢⱼWhⱼ)</w:t>
      </w:r>
    </w:p>
    <w:p w14:paraId="406BC9BC" w14:textId="77777777" w:rsidR="00A63807" w:rsidRDefault="00000000">
      <w:pPr>
        <w:spacing w:after="100" w:line="259" w:lineRule="auto"/>
      </w:pPr>
      <w:r>
        <w:t>GAT learns to weight neighbors differently. Attention weights are not automatically physically meaningful or calibrated uncertainty estimates; the explicit CSI-uncertainty feature and pseudo-label gate remain distinct mechanisms.</w:t>
      </w:r>
    </w:p>
    <w:tbl>
      <w:tblPr>
        <w:tblStyle w:val="TableGrid1"/>
        <w:tblW w:w="0" w:type="auto"/>
        <w:tblInd w:w="0" w:type="dxa"/>
        <w:tblCellMar>
          <w:top w:w="0" w:type="dxa"/>
          <w:left w:w="0" w:type="dxa"/>
          <w:bottom w:w="0" w:type="dxa"/>
          <w:right w:w="0" w:type="dxa"/>
        </w:tblCellMar>
        <w:tblLook w:val="04A0" w:firstRow="1" w:lastRow="0" w:firstColumn="1" w:lastColumn="0" w:noHBand="0" w:noVBand="1"/>
      </w:tblPr>
      <w:tblGrid>
        <w:gridCol w:w="2469"/>
        <w:gridCol w:w="2469"/>
        <w:gridCol w:w="2469"/>
        <w:gridCol w:w="2469"/>
      </w:tblGrid>
      <w:tr w:rsidR="00A63807" w14:paraId="7F749DA6" w14:textId="77777777">
        <w:tblPrEx>
          <w:tblCellMar>
            <w:top w:w="0" w:type="dxa"/>
            <w:left w:w="0" w:type="dxa"/>
            <w:bottom w:w="0" w:type="dxa"/>
            <w:right w:w="0" w:type="dxa"/>
          </w:tblCellMar>
        </w:tblPrEx>
        <w:tc>
          <w:tcPr>
            <w:tcW w:w="2469" w:type="dxa"/>
            <w:shd w:val="clear" w:color="auto" w:fill="D9EAF7"/>
          </w:tcPr>
          <w:p w14:paraId="0226FE8D" w14:textId="77777777" w:rsidR="00A63807" w:rsidRDefault="00000000">
            <w:r>
              <w:rPr>
                <w:b/>
                <w:sz w:val="18"/>
              </w:rPr>
              <w:t>Architecture</w:t>
            </w:r>
          </w:p>
        </w:tc>
        <w:tc>
          <w:tcPr>
            <w:tcW w:w="2469" w:type="dxa"/>
            <w:shd w:val="clear" w:color="auto" w:fill="D9EAF7"/>
          </w:tcPr>
          <w:p w14:paraId="2D00251D" w14:textId="77777777" w:rsidR="00A63807" w:rsidRDefault="00000000">
            <w:r>
              <w:rPr>
                <w:b/>
                <w:sz w:val="18"/>
              </w:rPr>
              <w:t>Aggregation principle</w:t>
            </w:r>
          </w:p>
        </w:tc>
        <w:tc>
          <w:tcPr>
            <w:tcW w:w="2469" w:type="dxa"/>
            <w:shd w:val="clear" w:color="auto" w:fill="D9EAF7"/>
          </w:tcPr>
          <w:p w14:paraId="799CA4B9" w14:textId="77777777" w:rsidR="00A63807" w:rsidRDefault="00000000">
            <w:r>
              <w:rPr>
                <w:b/>
                <w:sz w:val="18"/>
              </w:rPr>
              <w:t>Potential advantage</w:t>
            </w:r>
          </w:p>
        </w:tc>
        <w:tc>
          <w:tcPr>
            <w:tcW w:w="2469" w:type="dxa"/>
            <w:shd w:val="clear" w:color="auto" w:fill="D9EAF7"/>
          </w:tcPr>
          <w:p w14:paraId="0968403A" w14:textId="77777777" w:rsidR="00A63807" w:rsidRDefault="00000000">
            <w:r>
              <w:rPr>
                <w:b/>
                <w:sz w:val="18"/>
              </w:rPr>
              <w:t>Main consideration</w:t>
            </w:r>
          </w:p>
        </w:tc>
      </w:tr>
      <w:tr w:rsidR="00A63807" w14:paraId="6A2FAFB3" w14:textId="77777777">
        <w:tblPrEx>
          <w:tblCellMar>
            <w:top w:w="0" w:type="dxa"/>
            <w:left w:w="0" w:type="dxa"/>
            <w:bottom w:w="0" w:type="dxa"/>
            <w:right w:w="0" w:type="dxa"/>
          </w:tblCellMar>
        </w:tblPrEx>
        <w:tc>
          <w:tcPr>
            <w:tcW w:w="2469" w:type="dxa"/>
          </w:tcPr>
          <w:p w14:paraId="37D0EC6E" w14:textId="77777777" w:rsidR="00A63807" w:rsidRDefault="00000000">
            <w:pPr>
              <w:spacing w:after="40"/>
            </w:pPr>
            <w:r>
              <w:rPr>
                <w:sz w:val="17"/>
              </w:rPr>
              <w:t>GraphSAGE</w:t>
            </w:r>
          </w:p>
        </w:tc>
        <w:tc>
          <w:tcPr>
            <w:tcW w:w="2469" w:type="dxa"/>
          </w:tcPr>
          <w:p w14:paraId="650B0D01" w14:textId="77777777" w:rsidR="00A63807" w:rsidRDefault="00000000">
            <w:pPr>
              <w:spacing w:after="40"/>
            </w:pPr>
            <w:r>
              <w:rPr>
                <w:sz w:val="17"/>
              </w:rPr>
              <w:t>Neighborhood aggregation</w:t>
            </w:r>
          </w:p>
        </w:tc>
        <w:tc>
          <w:tcPr>
            <w:tcW w:w="2469" w:type="dxa"/>
          </w:tcPr>
          <w:p w14:paraId="73FEBF6B" w14:textId="77777777" w:rsidR="00A63807" w:rsidRDefault="00000000">
            <w:pPr>
              <w:spacing w:after="40"/>
            </w:pPr>
            <w:r>
              <w:rPr>
                <w:sz w:val="17"/>
              </w:rPr>
              <w:t xml:space="preserve">Inductive learning and flexible </w:t>
            </w:r>
            <w:r>
              <w:rPr>
                <w:sz w:val="17"/>
              </w:rPr>
              <w:lastRenderedPageBreak/>
              <w:t>aggregation</w:t>
            </w:r>
          </w:p>
        </w:tc>
        <w:tc>
          <w:tcPr>
            <w:tcW w:w="2469" w:type="dxa"/>
          </w:tcPr>
          <w:p w14:paraId="0F0266D5" w14:textId="77777777" w:rsidR="00A63807" w:rsidRDefault="00000000">
            <w:pPr>
              <w:spacing w:after="40"/>
            </w:pPr>
            <w:r>
              <w:rPr>
                <w:sz w:val="17"/>
              </w:rPr>
              <w:lastRenderedPageBreak/>
              <w:t xml:space="preserve">Depends on aggregator and </w:t>
            </w:r>
            <w:r>
              <w:rPr>
                <w:sz w:val="17"/>
              </w:rPr>
              <w:lastRenderedPageBreak/>
              <w:t>topology</w:t>
            </w:r>
          </w:p>
        </w:tc>
      </w:tr>
      <w:tr w:rsidR="00A63807" w14:paraId="0577BE33" w14:textId="77777777">
        <w:tblPrEx>
          <w:tblCellMar>
            <w:top w:w="0" w:type="dxa"/>
            <w:left w:w="0" w:type="dxa"/>
            <w:bottom w:w="0" w:type="dxa"/>
            <w:right w:w="0" w:type="dxa"/>
          </w:tblCellMar>
        </w:tblPrEx>
        <w:tc>
          <w:tcPr>
            <w:tcW w:w="2469" w:type="dxa"/>
          </w:tcPr>
          <w:p w14:paraId="42745A51" w14:textId="77777777" w:rsidR="00A63807" w:rsidRDefault="00000000">
            <w:pPr>
              <w:spacing w:after="40"/>
            </w:pPr>
            <w:r>
              <w:rPr>
                <w:sz w:val="17"/>
              </w:rPr>
              <w:lastRenderedPageBreak/>
              <w:t>GCN</w:t>
            </w:r>
          </w:p>
        </w:tc>
        <w:tc>
          <w:tcPr>
            <w:tcW w:w="2469" w:type="dxa"/>
          </w:tcPr>
          <w:p w14:paraId="04B9ABAC" w14:textId="77777777" w:rsidR="00A63807" w:rsidRDefault="00000000">
            <w:pPr>
              <w:spacing w:after="40"/>
            </w:pPr>
            <w:r>
              <w:rPr>
                <w:sz w:val="17"/>
              </w:rPr>
              <w:t>Normalized adjacency aggregation</w:t>
            </w:r>
          </w:p>
        </w:tc>
        <w:tc>
          <w:tcPr>
            <w:tcW w:w="2469" w:type="dxa"/>
          </w:tcPr>
          <w:p w14:paraId="61FB9B95" w14:textId="77777777" w:rsidR="00A63807" w:rsidRDefault="00000000">
            <w:pPr>
              <w:spacing w:after="40"/>
            </w:pPr>
            <w:r>
              <w:rPr>
                <w:sz w:val="17"/>
              </w:rPr>
              <w:t>Simple neighborhood smoothing</w:t>
            </w:r>
          </w:p>
        </w:tc>
        <w:tc>
          <w:tcPr>
            <w:tcW w:w="2469" w:type="dxa"/>
          </w:tcPr>
          <w:p w14:paraId="0C8C8284" w14:textId="77777777" w:rsidR="00A63807" w:rsidRDefault="00000000">
            <w:pPr>
              <w:spacing w:after="40"/>
            </w:pPr>
            <w:r>
              <w:rPr>
                <w:sz w:val="17"/>
              </w:rPr>
              <w:t>May oversmooth dense graphs</w:t>
            </w:r>
          </w:p>
        </w:tc>
      </w:tr>
      <w:tr w:rsidR="00A63807" w14:paraId="2BEF27C4" w14:textId="77777777">
        <w:tblPrEx>
          <w:tblCellMar>
            <w:top w:w="0" w:type="dxa"/>
            <w:left w:w="0" w:type="dxa"/>
            <w:bottom w:w="0" w:type="dxa"/>
            <w:right w:w="0" w:type="dxa"/>
          </w:tblCellMar>
        </w:tblPrEx>
        <w:tc>
          <w:tcPr>
            <w:tcW w:w="2469" w:type="dxa"/>
          </w:tcPr>
          <w:p w14:paraId="5DC85F80" w14:textId="77777777" w:rsidR="00A63807" w:rsidRDefault="00000000">
            <w:pPr>
              <w:spacing w:after="40"/>
            </w:pPr>
            <w:r>
              <w:rPr>
                <w:sz w:val="17"/>
              </w:rPr>
              <w:t>GAT</w:t>
            </w:r>
          </w:p>
        </w:tc>
        <w:tc>
          <w:tcPr>
            <w:tcW w:w="2469" w:type="dxa"/>
          </w:tcPr>
          <w:p w14:paraId="6B049B72" w14:textId="77777777" w:rsidR="00A63807" w:rsidRDefault="00000000">
            <w:pPr>
              <w:spacing w:after="40"/>
            </w:pPr>
            <w:r>
              <w:rPr>
                <w:sz w:val="17"/>
              </w:rPr>
              <w:t>Learned neighbor attention</w:t>
            </w:r>
          </w:p>
        </w:tc>
        <w:tc>
          <w:tcPr>
            <w:tcW w:w="2469" w:type="dxa"/>
          </w:tcPr>
          <w:p w14:paraId="2ACC5E79" w14:textId="77777777" w:rsidR="00A63807" w:rsidRDefault="00000000">
            <w:pPr>
              <w:spacing w:after="40"/>
            </w:pPr>
            <w:r>
              <w:rPr>
                <w:sz w:val="17"/>
              </w:rPr>
              <w:t>Adaptive weighting of connected users</w:t>
            </w:r>
          </w:p>
        </w:tc>
        <w:tc>
          <w:tcPr>
            <w:tcW w:w="2469" w:type="dxa"/>
          </w:tcPr>
          <w:p w14:paraId="7D511DBF" w14:textId="77777777" w:rsidR="00A63807" w:rsidRDefault="00000000">
            <w:pPr>
              <w:spacing w:after="40"/>
            </w:pPr>
            <w:r>
              <w:rPr>
                <w:sz w:val="17"/>
              </w:rPr>
              <w:t>More parameters; attention is not calibrated confidence</w:t>
            </w:r>
          </w:p>
        </w:tc>
      </w:tr>
    </w:tbl>
    <w:p w14:paraId="10D55BF4" w14:textId="77777777" w:rsidR="00A63807" w:rsidRDefault="00A63807"/>
    <w:p w14:paraId="643559A2" w14:textId="77777777" w:rsidR="00A63807" w:rsidRDefault="00000000">
      <w:pPr>
        <w:spacing w:after="100" w:line="259" w:lineRule="auto"/>
      </w:pPr>
      <w:r>
        <w:t>After three message-passing layers, embeddings hᵢ⁽³⁾ map to logits zᵢ and Softmax probabilities pᵢ:</w:t>
      </w:r>
    </w:p>
    <w:p w14:paraId="6DBC8C51" w14:textId="77777777" w:rsidR="00A63807" w:rsidRDefault="00000000">
      <w:pPr>
        <w:spacing w:after="140"/>
        <w:jc w:val="center"/>
      </w:pPr>
      <w:r>
        <w:rPr>
          <w:rFonts w:ascii="Cambria Math" w:hAnsi="Cambria Math"/>
          <w:i/>
        </w:rPr>
        <w:t>zᵢ = W_c hᵢ⁽³⁾ + b_c,       pᵢ,c = exp(zᵢ,c) / Σᵣ exp(zᵢ,r)</w:t>
      </w:r>
    </w:p>
    <w:p w14:paraId="755FF1EA" w14:textId="77777777" w:rsidR="00A63807" w:rsidRDefault="00000000">
      <w:pPr>
        <w:spacing w:after="100" w:line="259" w:lineRule="auto"/>
      </w:pPr>
      <w:r>
        <w:t>The predicted group is the maximum-probability class. This is the model’s direct grouping output; no conventional clustering stage is inserted after classification.</w:t>
      </w:r>
    </w:p>
    <w:p w14:paraId="7CD08CD3" w14:textId="77777777" w:rsidR="00A63807" w:rsidRDefault="00000000">
      <w:pPr>
        <w:pStyle w:val="Heading21"/>
        <w:keepNext/>
      </w:pPr>
      <w:r>
        <w:t>2.5 Theoretical Basis for Semi-Supervised Learning in Partially Labeled Cellular Networks</w:t>
      </w:r>
    </w:p>
    <w:p w14:paraId="67B76D5E" w14:textId="77777777" w:rsidR="00A63807" w:rsidRDefault="00000000">
      <w:pPr>
        <w:spacing w:after="100" w:line="259" w:lineRule="auto"/>
      </w:pPr>
      <w:r>
        <w:t>Semi-supervised learning is useful when only a subset of nodes has reference labels but more unlabeled nodes are available. Let V = L ∪ U, where L is the labeled set and U the unlabeled set. Labeled targets belong to {1,…,C}; unlabeled nodes use −1 and must be excluded from supervised cross-entropy.</w:t>
      </w:r>
    </w:p>
    <w:p w14:paraId="02EB8C97" w14:textId="77777777" w:rsidR="00A63807" w:rsidRDefault="00000000">
      <w:pPr>
        <w:spacing w:after="100" w:line="259" w:lineRule="auto"/>
      </w:pPr>
      <w:r>
        <w:t>The supervised component supplies direct class information. The consistency component uses unlabeled data by requiring predictions to remain similar across two perturbed views of the same graph. The pseudo-label component converts selected unlabeled predictions into temporary training targets when the model is confident and CSI uncertainty is low. These mechanisms rely on different assumptions: labels are valid; perturbations preserve semantic group; and high-confidence predictions on reliable observations are more likely to be correct.</w:t>
      </w:r>
    </w:p>
    <w:p w14:paraId="217D1D60" w14:textId="77777777" w:rsidR="00A63807" w:rsidRDefault="00000000">
      <w:pPr>
        <w:spacing w:after="140"/>
        <w:jc w:val="center"/>
      </w:pPr>
      <w:r>
        <w:rPr>
          <w:rFonts w:ascii="Cambria Math" w:hAnsi="Cambria Math"/>
          <w:i/>
        </w:rPr>
        <w:t>L_total = L_supervised + λL_consistency + μL_pseudo</w:t>
      </w:r>
    </w:p>
    <w:p w14:paraId="57DCBF45" w14:textId="77777777" w:rsidR="00A63807" w:rsidRDefault="00000000">
      <w:pPr>
        <w:spacing w:after="100" w:line="259" w:lineRule="auto"/>
      </w:pPr>
      <w:r>
        <w:t>The non-negative coefficients λ and μ determine the auxiliary losses’ contributions and should be selected using training/validation procedures, never the isolated test set. Excessive consistency weight can suppress legitimate boundary differences; excessive pseudo-label weight can reinforce early mistakes. Loss components and pseudo-label acceptance counts should be logged separately.</w:t>
      </w:r>
    </w:p>
    <w:p w14:paraId="4AA2B147" w14:textId="77777777" w:rsidR="00A63807" w:rsidRDefault="00000000">
      <w:pPr>
        <w:spacing w:after="100" w:line="259" w:lineRule="auto"/>
      </w:pPr>
      <w:r>
        <w:t>The consistency mechanism creates two graph views using 15% stochastic edge dropping and 10% feature masking. The exact interpretation—independent edge deletion per view, feature-entry masking, or feature-column masking—must be fixed in code and documented. The loss compares predictions for corresponding users using symmetric Kullback–Leibler divergence or a specified MSE alternative.</w:t>
      </w:r>
    </w:p>
    <w:p w14:paraId="5E77CA41" w14:textId="77777777" w:rsidR="00A63807" w:rsidRDefault="00000000">
      <w:pPr>
        <w:spacing w:after="100" w:line="259" w:lineRule="auto"/>
      </w:pPr>
      <w:r>
        <w:t>Pseudo-labeling uses a dual condition. For Softmax vector pᵢ, confidence sᵢ = max_c pᵢ,c and candidate class ĉᵢ = argmax_c pᵢ,c. With τ_p = 0.90 and uncertainty threshold τᵤ:</w:t>
      </w:r>
    </w:p>
    <w:p w14:paraId="34971B2C" w14:textId="77777777" w:rsidR="00A63807" w:rsidRDefault="00000000">
      <w:pPr>
        <w:spacing w:after="140"/>
        <w:jc w:val="center"/>
      </w:pPr>
      <w:r>
        <w:rPr>
          <w:rFonts w:ascii="Cambria Math" w:hAnsi="Cambria Math"/>
          <w:i/>
        </w:rPr>
        <w:t>mᵢ = 1[sᵢ ≥ τ_p ∧ uᵢ ≤ τᵤ],       τ_p = 0.90</w:t>
      </w:r>
    </w:p>
    <w:p w14:paraId="23FA2E9E" w14:textId="77777777" w:rsidR="00A63807" w:rsidRDefault="00000000">
      <w:pPr>
        <w:spacing w:after="100" w:line="259" w:lineRule="auto"/>
      </w:pPr>
      <w:r>
        <w:t>Only nodes with mᵢ = 1 contribute to pseudo-label loss. The uncertainty threshold must use the same scale as the uncertainty values. If no unlabeled nodes pass the gate in a batch, the implementation must safely handle an empty selection without NaNs or division by zero.</w:t>
      </w:r>
    </w:p>
    <w:p w14:paraId="4FDB2FC0" w14:textId="77777777" w:rsidR="00A63807" w:rsidRDefault="00000000">
      <w:pPr>
        <w:pStyle w:val="Heading21"/>
        <w:keepNext/>
      </w:pPr>
      <w:r>
        <w:t>Chapter 2 Summary</w:t>
      </w:r>
    </w:p>
    <w:p w14:paraId="26C3B61D" w14:textId="77777777" w:rsidR="00A63807" w:rsidRDefault="00000000">
      <w:pPr>
        <w:spacing w:after="100" w:line="259" w:lineRule="auto"/>
      </w:pPr>
      <w:r>
        <w:t>This chapter established mathematical representations for channel quality, CSI error, graph structure, and GNN message passing. It explained assumptions behind semi-supervised consistency and pseudo-labeling. The next chapter translates these foundations into feature engineering, split discipline, scenario-specific graph construction, and PyTorch Geometric data objects.</w:t>
      </w:r>
    </w:p>
    <w:p w14:paraId="3D2E3673" w14:textId="77777777" w:rsidR="00A63807" w:rsidRDefault="00000000">
      <w:r>
        <w:br w:type="page"/>
      </w:r>
    </w:p>
    <w:p w14:paraId="30EBB14B" w14:textId="77777777" w:rsidR="00A63807" w:rsidRDefault="00000000">
      <w:pPr>
        <w:pStyle w:val="Heading11"/>
        <w:keepNext/>
      </w:pPr>
      <w:r>
        <w:lastRenderedPageBreak/>
        <w:t>CHAPTER 3. SYSTEM ARCHITECTURE &amp; DATA ENGINEERING PIPELINE</w:t>
      </w:r>
    </w:p>
    <w:p w14:paraId="5CFD6A14" w14:textId="77777777" w:rsidR="00A63807" w:rsidRDefault="00000000">
      <w:pPr>
        <w:pStyle w:val="Heading21"/>
        <w:keepNext/>
      </w:pPr>
      <w:r>
        <w:t>3.1 End-to-End System Pipeline Flowchart &amp; High-Level Block Diagram</w:t>
      </w:r>
    </w:p>
    <w:p w14:paraId="00DB6752" w14:textId="77777777" w:rsidR="00A63807" w:rsidRDefault="00000000">
      <w:pPr>
        <w:spacing w:after="100" w:line="259" w:lineRule="auto"/>
      </w:pPr>
      <w:r>
        <w:t>The system is a reproducible sequence of data preparation, graph construction, model optimization, evaluation, and artifact export. Each scenario is represented by a graph of 20 user nodes; the benchmark spans 100 scenarios and 2,000 users with four group labels. The pipeline separates parameter-learning operations from fixed transformations used during held-out evaluation.</w:t>
      </w:r>
    </w:p>
    <w:p w14:paraId="7C177766" w14:textId="77777777" w:rsidR="00A63807" w:rsidRDefault="00000000">
      <w:pPr>
        <w:spacing w:after="100" w:line="259" w:lineRule="auto"/>
      </w:pPr>
      <w:r>
        <w:t>Figure 3.1. High-level architecture (Mermaid source):</w:t>
      </w:r>
    </w:p>
    <w:p w14:paraId="2B4C7041" w14:textId="77777777" w:rsidR="00A63807" w:rsidRDefault="00000000">
      <w:pPr>
        <w:spacing w:after="100" w:line="259" w:lineRule="auto"/>
      </w:pPr>
      <w:r>
        <w:t>```mermaid</w:t>
      </w:r>
      <w:r>
        <w:br/>
        <w:t>graph TD</w:t>
      </w:r>
      <w:r>
        <w:br/>
        <w:t>A[Scenario data: 100 scenarios / 2000 users] --&gt; B[Schema and data validation]</w:t>
      </w:r>
      <w:r>
        <w:br/>
        <w:t>B --&gt; C[Scenario-level train / validation / test split]</w:t>
      </w:r>
      <w:r>
        <w:br/>
        <w:t>C --&gt; D[Fit feature scaler on training scenarios only]</w:t>
      </w:r>
      <w:r>
        <w:br/>
        <w:t>D --&gt; E[Transform all partitions with frozen scaler]</w:t>
      </w:r>
      <w:r>
        <w:br/>
        <w:t>E --&gt; F[Build per-scenario PyG graphs]</w:t>
      </w:r>
      <w:r>
        <w:br/>
        <w:t>F --&gt; G[GraphSAGE / GCN / GAT]</w:t>
      </w:r>
      <w:r>
        <w:br/>
        <w:t>G --&gt; H[Supervised + consistency + gated pseudo-label losses]</w:t>
      </w:r>
      <w:r>
        <w:br/>
        <w:t>H --&gt; I[Validation and model selection]</w:t>
      </w:r>
      <w:r>
        <w:br/>
        <w:t>I --&gt; J[Isolated test inference]</w:t>
      </w:r>
      <w:r>
        <w:br/>
        <w:t>J --&gt; K[Hungarian alignment and metrics]</w:t>
      </w:r>
      <w:r>
        <w:br/>
        <w:t>K --&gt; L[CSV / GraphML / plots / embeddings]</w:t>
      </w:r>
      <w:r>
        <w:br/>
        <w:t>L --&gt; M[Future power allocation and SIC interface]</w:t>
      </w:r>
      <w:r>
        <w:br/>
        <w:t>```</w:t>
      </w:r>
    </w:p>
    <w:p w14:paraId="2E7B37B8" w14:textId="77777777" w:rsidR="00A63807" w:rsidRDefault="00000000">
      <w:pPr>
        <w:spacing w:after="100" w:line="259" w:lineRule="auto"/>
      </w:pPr>
      <w:r>
        <w:t>The data-validation stage checks required columns, numeric types, finite values, stable scenario/user identifiers, valid labels, and consistent channel representation. After splitting by scenario, the scaler is fitted on training records only. The same fitted transform is applied to validation and test data. Graph construction is performed separately for each scenario using a declared graph-builder configuration.</w:t>
      </w:r>
    </w:p>
    <w:p w14:paraId="481559F9" w14:textId="77777777" w:rsidR="00A63807" w:rsidRDefault="00000000">
      <w:pPr>
        <w:spacing w:after="100" w:line="259" w:lineRule="auto"/>
      </w:pPr>
      <w:r>
        <w:t>Training uses labeled nodes for masked cross-entropy and unlabeled nodes for consistency and selective pseudo-label learning. Validation supports model selection and hyperparameter decisions. Test data remains isolated until the final evaluation pass. Evaluation aligns predicted group IDs with reference labels, calculates aggregate and per-group metrics, and generates diagnostic plots. Output files include scenario and user IDs so predictions can be joined without relying on row order.</w:t>
      </w:r>
    </w:p>
    <w:p w14:paraId="76296DE9" w14:textId="77777777" w:rsidR="00A63807" w:rsidRDefault="00000000">
      <w:pPr>
        <w:pStyle w:val="Heading21"/>
        <w:keepNext/>
      </w:pPr>
      <w:r>
        <w:t>3.2 Dataset Feature Extraction &amp; Preprocessing</w:t>
      </w:r>
    </w:p>
    <w:p w14:paraId="2E6A7649" w14:textId="77777777" w:rsidR="00A63807" w:rsidRDefault="00000000">
      <w:pPr>
        <w:spacing w:after="100" w:line="259" w:lineRule="auto"/>
      </w:pPr>
      <w:r>
        <w:t>The feature schema combines channel magnitude information, user geometry, SNR, complex CSI components, estimated CSI components, and CSI uncertainty. For user i:</w:t>
      </w:r>
    </w:p>
    <w:p w14:paraId="4548A510" w14:textId="77777777" w:rsidR="00A63807" w:rsidRDefault="00000000">
      <w:pPr>
        <w:spacing w:after="140"/>
        <w:jc w:val="center"/>
      </w:pPr>
      <w:r>
        <w:rPr>
          <w:rFonts w:ascii="Cambria Math" w:hAnsi="Cambria Math"/>
          <w:i/>
        </w:rPr>
        <w:t>xᵢ = [channel_gain, distance, snr, hᵢ,R, hᵢ,I, ĥᵢ,R, ĥᵢ,I, uᵢ]ᵀ ∈ ℝ⁸</w:t>
      </w:r>
    </w:p>
    <w:p w14:paraId="0EF128CA" w14:textId="77777777" w:rsidR="00A63807" w:rsidRDefault="00000000">
      <w:pPr>
        <w:spacing w:after="100" w:line="259" w:lineRule="auto"/>
      </w:pPr>
      <w:r>
        <w:t>The names and units should be preserved from the data dictionary. In particular, channel_gain may already be a power gain such as |hᵢ|²; it should not be recomputed or rescaled without confirming the source convention.</w:t>
      </w:r>
    </w:p>
    <w:tbl>
      <w:tblPr>
        <w:tblStyle w:val="TableGrid1"/>
        <w:tblW w:w="0" w:type="auto"/>
        <w:tblInd w:w="0" w:type="dxa"/>
        <w:tblCellMar>
          <w:top w:w="0" w:type="dxa"/>
          <w:left w:w="0" w:type="dxa"/>
          <w:bottom w:w="0" w:type="dxa"/>
          <w:right w:w="0" w:type="dxa"/>
        </w:tblCellMar>
        <w:tblLook w:val="04A0" w:firstRow="1" w:lastRow="0" w:firstColumn="1" w:lastColumn="0" w:noHBand="0" w:noVBand="1"/>
      </w:tblPr>
      <w:tblGrid>
        <w:gridCol w:w="3292"/>
        <w:gridCol w:w="3293"/>
        <w:gridCol w:w="3293"/>
      </w:tblGrid>
      <w:tr w:rsidR="00A63807" w14:paraId="3637E25E" w14:textId="77777777">
        <w:tblPrEx>
          <w:tblCellMar>
            <w:top w:w="0" w:type="dxa"/>
            <w:left w:w="0" w:type="dxa"/>
            <w:bottom w:w="0" w:type="dxa"/>
            <w:right w:w="0" w:type="dxa"/>
          </w:tblCellMar>
        </w:tblPrEx>
        <w:tc>
          <w:tcPr>
            <w:tcW w:w="3293" w:type="dxa"/>
            <w:shd w:val="clear" w:color="auto" w:fill="D9EAF7"/>
          </w:tcPr>
          <w:p w14:paraId="54B675EB" w14:textId="77777777" w:rsidR="00A63807" w:rsidRDefault="00000000">
            <w:r>
              <w:rPr>
                <w:b/>
                <w:sz w:val="18"/>
              </w:rPr>
              <w:t>Feature</w:t>
            </w:r>
          </w:p>
        </w:tc>
        <w:tc>
          <w:tcPr>
            <w:tcW w:w="3293" w:type="dxa"/>
            <w:shd w:val="clear" w:color="auto" w:fill="D9EAF7"/>
          </w:tcPr>
          <w:p w14:paraId="76D69C79" w14:textId="77777777" w:rsidR="00A63807" w:rsidRDefault="00000000">
            <w:r>
              <w:rPr>
                <w:b/>
                <w:sz w:val="18"/>
              </w:rPr>
              <w:t>Representation</w:t>
            </w:r>
          </w:p>
        </w:tc>
        <w:tc>
          <w:tcPr>
            <w:tcW w:w="3293" w:type="dxa"/>
            <w:shd w:val="clear" w:color="auto" w:fill="D9EAF7"/>
          </w:tcPr>
          <w:p w14:paraId="223DC193" w14:textId="77777777" w:rsidR="00A63807" w:rsidRDefault="00000000">
            <w:r>
              <w:rPr>
                <w:b/>
                <w:sz w:val="18"/>
              </w:rPr>
              <w:t>Interpretation / preprocessing note</w:t>
            </w:r>
          </w:p>
        </w:tc>
      </w:tr>
      <w:tr w:rsidR="00A63807" w14:paraId="005CDC0E" w14:textId="77777777">
        <w:tblPrEx>
          <w:tblCellMar>
            <w:top w:w="0" w:type="dxa"/>
            <w:left w:w="0" w:type="dxa"/>
            <w:bottom w:w="0" w:type="dxa"/>
            <w:right w:w="0" w:type="dxa"/>
          </w:tblCellMar>
        </w:tblPrEx>
        <w:tc>
          <w:tcPr>
            <w:tcW w:w="3293" w:type="dxa"/>
          </w:tcPr>
          <w:p w14:paraId="18F4124F" w14:textId="77777777" w:rsidR="00A63807" w:rsidRDefault="00000000">
            <w:pPr>
              <w:spacing w:after="40"/>
            </w:pPr>
            <w:r>
              <w:rPr>
                <w:sz w:val="17"/>
              </w:rPr>
              <w:t>channel_gain</w:t>
            </w:r>
          </w:p>
        </w:tc>
        <w:tc>
          <w:tcPr>
            <w:tcW w:w="3293" w:type="dxa"/>
          </w:tcPr>
          <w:p w14:paraId="666F123A" w14:textId="77777777" w:rsidR="00A63807" w:rsidRDefault="00000000">
            <w:pPr>
              <w:spacing w:after="40"/>
            </w:pPr>
            <w:r>
              <w:rPr>
                <w:sz w:val="17"/>
              </w:rPr>
              <w:t>Scalar</w:t>
            </w:r>
          </w:p>
        </w:tc>
        <w:tc>
          <w:tcPr>
            <w:tcW w:w="3293" w:type="dxa"/>
          </w:tcPr>
          <w:p w14:paraId="4E1B1762" w14:textId="77777777" w:rsidR="00A63807" w:rsidRDefault="00000000">
            <w:pPr>
              <w:spacing w:after="40"/>
            </w:pPr>
            <w:r>
              <w:rPr>
                <w:sz w:val="17"/>
              </w:rPr>
              <w:t>Record whether it is amplitude gain, power gain, or another supplied quantity</w:t>
            </w:r>
          </w:p>
        </w:tc>
      </w:tr>
      <w:tr w:rsidR="00A63807" w14:paraId="467D69D0" w14:textId="77777777">
        <w:tblPrEx>
          <w:tblCellMar>
            <w:top w:w="0" w:type="dxa"/>
            <w:left w:w="0" w:type="dxa"/>
            <w:bottom w:w="0" w:type="dxa"/>
            <w:right w:w="0" w:type="dxa"/>
          </w:tblCellMar>
        </w:tblPrEx>
        <w:tc>
          <w:tcPr>
            <w:tcW w:w="3293" w:type="dxa"/>
          </w:tcPr>
          <w:p w14:paraId="0572A336" w14:textId="77777777" w:rsidR="00A63807" w:rsidRDefault="00000000">
            <w:pPr>
              <w:spacing w:after="40"/>
            </w:pPr>
            <w:r>
              <w:rPr>
                <w:sz w:val="17"/>
              </w:rPr>
              <w:t>distance</w:t>
            </w:r>
          </w:p>
        </w:tc>
        <w:tc>
          <w:tcPr>
            <w:tcW w:w="3293" w:type="dxa"/>
          </w:tcPr>
          <w:p w14:paraId="19EC02D9" w14:textId="77777777" w:rsidR="00A63807" w:rsidRDefault="00000000">
            <w:pPr>
              <w:spacing w:after="40"/>
            </w:pPr>
            <w:r>
              <w:rPr>
                <w:sz w:val="17"/>
              </w:rPr>
              <w:t>Scalar</w:t>
            </w:r>
          </w:p>
        </w:tc>
        <w:tc>
          <w:tcPr>
            <w:tcW w:w="3293" w:type="dxa"/>
          </w:tcPr>
          <w:p w14:paraId="0E35F179" w14:textId="77777777" w:rsidR="00A63807" w:rsidRDefault="00000000">
            <w:pPr>
              <w:spacing w:after="40"/>
            </w:pPr>
            <w:r>
              <w:rPr>
                <w:sz w:val="17"/>
              </w:rPr>
              <w:t>Preserve units and reference point; distribution may be skewed</w:t>
            </w:r>
          </w:p>
        </w:tc>
      </w:tr>
      <w:tr w:rsidR="00A63807" w14:paraId="50B2671C" w14:textId="77777777">
        <w:tblPrEx>
          <w:tblCellMar>
            <w:top w:w="0" w:type="dxa"/>
            <w:left w:w="0" w:type="dxa"/>
            <w:bottom w:w="0" w:type="dxa"/>
            <w:right w:w="0" w:type="dxa"/>
          </w:tblCellMar>
        </w:tblPrEx>
        <w:tc>
          <w:tcPr>
            <w:tcW w:w="3293" w:type="dxa"/>
          </w:tcPr>
          <w:p w14:paraId="54513142" w14:textId="77777777" w:rsidR="00A63807" w:rsidRDefault="00000000">
            <w:pPr>
              <w:spacing w:after="40"/>
            </w:pPr>
            <w:r>
              <w:rPr>
                <w:sz w:val="17"/>
              </w:rPr>
              <w:t>snr</w:t>
            </w:r>
          </w:p>
        </w:tc>
        <w:tc>
          <w:tcPr>
            <w:tcW w:w="3293" w:type="dxa"/>
          </w:tcPr>
          <w:p w14:paraId="49DB874B" w14:textId="77777777" w:rsidR="00A63807" w:rsidRDefault="00000000">
            <w:pPr>
              <w:spacing w:after="40"/>
            </w:pPr>
            <w:r>
              <w:rPr>
                <w:sz w:val="17"/>
              </w:rPr>
              <w:t>Scalar</w:t>
            </w:r>
          </w:p>
        </w:tc>
        <w:tc>
          <w:tcPr>
            <w:tcW w:w="3293" w:type="dxa"/>
          </w:tcPr>
          <w:p w14:paraId="05E22BAE" w14:textId="77777777" w:rsidR="00A63807" w:rsidRDefault="00000000">
            <w:pPr>
              <w:spacing w:after="40"/>
            </w:pPr>
            <w:r>
              <w:rPr>
                <w:sz w:val="17"/>
              </w:rPr>
              <w:t>Preserve whether linear or dB</w:t>
            </w:r>
          </w:p>
        </w:tc>
      </w:tr>
      <w:tr w:rsidR="00A63807" w14:paraId="54D31F65" w14:textId="77777777">
        <w:tblPrEx>
          <w:tblCellMar>
            <w:top w:w="0" w:type="dxa"/>
            <w:left w:w="0" w:type="dxa"/>
            <w:bottom w:w="0" w:type="dxa"/>
            <w:right w:w="0" w:type="dxa"/>
          </w:tblCellMar>
        </w:tblPrEx>
        <w:tc>
          <w:tcPr>
            <w:tcW w:w="3293" w:type="dxa"/>
          </w:tcPr>
          <w:p w14:paraId="672A8026" w14:textId="77777777" w:rsidR="00A63807" w:rsidRDefault="00000000">
            <w:pPr>
              <w:spacing w:after="40"/>
            </w:pPr>
            <w:r>
              <w:rPr>
                <w:sz w:val="17"/>
              </w:rPr>
              <w:lastRenderedPageBreak/>
              <w:t>channel_real</w:t>
            </w:r>
          </w:p>
        </w:tc>
        <w:tc>
          <w:tcPr>
            <w:tcW w:w="3293" w:type="dxa"/>
          </w:tcPr>
          <w:p w14:paraId="64832FFB" w14:textId="77777777" w:rsidR="00A63807" w:rsidRDefault="00000000">
            <w:pPr>
              <w:spacing w:after="40"/>
            </w:pPr>
            <w:r>
              <w:rPr>
                <w:sz w:val="17"/>
              </w:rPr>
              <w:t>Scalar</w:t>
            </w:r>
          </w:p>
        </w:tc>
        <w:tc>
          <w:tcPr>
            <w:tcW w:w="3293" w:type="dxa"/>
          </w:tcPr>
          <w:p w14:paraId="17D4ABE5" w14:textId="77777777" w:rsidR="00A63807" w:rsidRDefault="00000000">
            <w:pPr>
              <w:spacing w:after="40"/>
            </w:pPr>
            <w:r>
              <w:rPr>
                <w:sz w:val="17"/>
              </w:rPr>
              <w:t>Real component of true complex CSI</w:t>
            </w:r>
          </w:p>
        </w:tc>
      </w:tr>
      <w:tr w:rsidR="00A63807" w14:paraId="2D1E4646" w14:textId="77777777">
        <w:tblPrEx>
          <w:tblCellMar>
            <w:top w:w="0" w:type="dxa"/>
            <w:left w:w="0" w:type="dxa"/>
            <w:bottom w:w="0" w:type="dxa"/>
            <w:right w:w="0" w:type="dxa"/>
          </w:tblCellMar>
        </w:tblPrEx>
        <w:tc>
          <w:tcPr>
            <w:tcW w:w="3293" w:type="dxa"/>
          </w:tcPr>
          <w:p w14:paraId="4268502A" w14:textId="77777777" w:rsidR="00A63807" w:rsidRDefault="00000000">
            <w:pPr>
              <w:spacing w:after="40"/>
            </w:pPr>
            <w:r>
              <w:rPr>
                <w:sz w:val="17"/>
              </w:rPr>
              <w:t>channel_imag</w:t>
            </w:r>
          </w:p>
        </w:tc>
        <w:tc>
          <w:tcPr>
            <w:tcW w:w="3293" w:type="dxa"/>
          </w:tcPr>
          <w:p w14:paraId="36D8395E" w14:textId="77777777" w:rsidR="00A63807" w:rsidRDefault="00000000">
            <w:pPr>
              <w:spacing w:after="40"/>
            </w:pPr>
            <w:r>
              <w:rPr>
                <w:sz w:val="17"/>
              </w:rPr>
              <w:t>Scalar</w:t>
            </w:r>
          </w:p>
        </w:tc>
        <w:tc>
          <w:tcPr>
            <w:tcW w:w="3293" w:type="dxa"/>
          </w:tcPr>
          <w:p w14:paraId="201DAA62" w14:textId="77777777" w:rsidR="00A63807" w:rsidRDefault="00000000">
            <w:pPr>
              <w:spacing w:after="40"/>
            </w:pPr>
            <w:r>
              <w:rPr>
                <w:sz w:val="17"/>
              </w:rPr>
              <w:t>Imaginary component of true complex CSI</w:t>
            </w:r>
          </w:p>
        </w:tc>
      </w:tr>
      <w:tr w:rsidR="00A63807" w14:paraId="1BB0507E" w14:textId="77777777">
        <w:tblPrEx>
          <w:tblCellMar>
            <w:top w:w="0" w:type="dxa"/>
            <w:left w:w="0" w:type="dxa"/>
            <w:bottom w:w="0" w:type="dxa"/>
            <w:right w:w="0" w:type="dxa"/>
          </w:tblCellMar>
        </w:tblPrEx>
        <w:tc>
          <w:tcPr>
            <w:tcW w:w="3293" w:type="dxa"/>
          </w:tcPr>
          <w:p w14:paraId="7D7AA8A5" w14:textId="77777777" w:rsidR="00A63807" w:rsidRDefault="00000000">
            <w:pPr>
              <w:spacing w:after="40"/>
            </w:pPr>
            <w:r>
              <w:rPr>
                <w:sz w:val="17"/>
              </w:rPr>
              <w:t>estimated_channel_real</w:t>
            </w:r>
          </w:p>
        </w:tc>
        <w:tc>
          <w:tcPr>
            <w:tcW w:w="3293" w:type="dxa"/>
          </w:tcPr>
          <w:p w14:paraId="65A4AB24" w14:textId="77777777" w:rsidR="00A63807" w:rsidRDefault="00000000">
            <w:pPr>
              <w:spacing w:after="40"/>
            </w:pPr>
            <w:r>
              <w:rPr>
                <w:sz w:val="17"/>
              </w:rPr>
              <w:t>Scalar</w:t>
            </w:r>
          </w:p>
        </w:tc>
        <w:tc>
          <w:tcPr>
            <w:tcW w:w="3293" w:type="dxa"/>
          </w:tcPr>
          <w:p w14:paraId="79465ED0" w14:textId="77777777" w:rsidR="00A63807" w:rsidRDefault="00000000">
            <w:pPr>
              <w:spacing w:after="40"/>
            </w:pPr>
            <w:r>
              <w:rPr>
                <w:sz w:val="17"/>
              </w:rPr>
              <w:t>Real component of estimated CSI</w:t>
            </w:r>
          </w:p>
        </w:tc>
      </w:tr>
      <w:tr w:rsidR="00A63807" w14:paraId="3C973ED9" w14:textId="77777777">
        <w:tblPrEx>
          <w:tblCellMar>
            <w:top w:w="0" w:type="dxa"/>
            <w:left w:w="0" w:type="dxa"/>
            <w:bottom w:w="0" w:type="dxa"/>
            <w:right w:w="0" w:type="dxa"/>
          </w:tblCellMar>
        </w:tblPrEx>
        <w:tc>
          <w:tcPr>
            <w:tcW w:w="3293" w:type="dxa"/>
          </w:tcPr>
          <w:p w14:paraId="560CC039" w14:textId="77777777" w:rsidR="00A63807" w:rsidRDefault="00000000">
            <w:pPr>
              <w:spacing w:after="40"/>
            </w:pPr>
            <w:r>
              <w:rPr>
                <w:sz w:val="17"/>
              </w:rPr>
              <w:t>estimated_channel_imag</w:t>
            </w:r>
          </w:p>
        </w:tc>
        <w:tc>
          <w:tcPr>
            <w:tcW w:w="3293" w:type="dxa"/>
          </w:tcPr>
          <w:p w14:paraId="42372B5D" w14:textId="77777777" w:rsidR="00A63807" w:rsidRDefault="00000000">
            <w:pPr>
              <w:spacing w:after="40"/>
            </w:pPr>
            <w:r>
              <w:rPr>
                <w:sz w:val="17"/>
              </w:rPr>
              <w:t>Scalar</w:t>
            </w:r>
          </w:p>
        </w:tc>
        <w:tc>
          <w:tcPr>
            <w:tcW w:w="3293" w:type="dxa"/>
          </w:tcPr>
          <w:p w14:paraId="598774C3" w14:textId="77777777" w:rsidR="00A63807" w:rsidRDefault="00000000">
            <w:pPr>
              <w:spacing w:after="40"/>
            </w:pPr>
            <w:r>
              <w:rPr>
                <w:sz w:val="17"/>
              </w:rPr>
              <w:t>Imaginary component of estimated CSI</w:t>
            </w:r>
          </w:p>
        </w:tc>
      </w:tr>
      <w:tr w:rsidR="00A63807" w14:paraId="3E03A7F9" w14:textId="77777777">
        <w:tblPrEx>
          <w:tblCellMar>
            <w:top w:w="0" w:type="dxa"/>
            <w:left w:w="0" w:type="dxa"/>
            <w:bottom w:w="0" w:type="dxa"/>
            <w:right w:w="0" w:type="dxa"/>
          </w:tblCellMar>
        </w:tblPrEx>
        <w:tc>
          <w:tcPr>
            <w:tcW w:w="3293" w:type="dxa"/>
          </w:tcPr>
          <w:p w14:paraId="1152D4CA" w14:textId="77777777" w:rsidR="00A63807" w:rsidRDefault="00000000">
            <w:pPr>
              <w:spacing w:after="40"/>
            </w:pPr>
            <w:r>
              <w:rPr>
                <w:sz w:val="17"/>
              </w:rPr>
              <w:t>csi_uncertainty</w:t>
            </w:r>
          </w:p>
        </w:tc>
        <w:tc>
          <w:tcPr>
            <w:tcW w:w="3293" w:type="dxa"/>
          </w:tcPr>
          <w:p w14:paraId="31BA0793" w14:textId="77777777" w:rsidR="00A63807" w:rsidRDefault="00000000">
            <w:pPr>
              <w:spacing w:after="40"/>
            </w:pPr>
            <w:r>
              <w:rPr>
                <w:sz w:val="17"/>
              </w:rPr>
              <w:t>Scalar</w:t>
            </w:r>
          </w:p>
        </w:tc>
        <w:tc>
          <w:tcPr>
            <w:tcW w:w="3293" w:type="dxa"/>
          </w:tcPr>
          <w:p w14:paraId="48C1631A" w14:textId="77777777" w:rsidR="00A63807" w:rsidRDefault="00000000">
            <w:pPr>
              <w:spacing w:after="40"/>
            </w:pPr>
            <w:r>
              <w:rPr>
                <w:sz w:val="17"/>
              </w:rPr>
              <w:t>Squared complex error magnitude; non-negative</w:t>
            </w:r>
          </w:p>
        </w:tc>
      </w:tr>
    </w:tbl>
    <w:p w14:paraId="2D4FD8E5" w14:textId="77777777" w:rsidR="00A63807" w:rsidRDefault="00A63807"/>
    <w:p w14:paraId="6B409012" w14:textId="77777777" w:rsidR="00A63807" w:rsidRDefault="00000000">
      <w:pPr>
        <w:spacing w:after="100" w:line="259" w:lineRule="auto"/>
      </w:pPr>
      <w:r>
        <w:t>A robust preprocessing pipeline begins with schema validation and a documented missing-value policy. If missing values exist, imputation parameters must be estimated from training data only. Outliers should be retained, clipped, or transformed according to a documented rule; clipping bounds must not be chosen using the held-out test distribution. Standardization is:</w:t>
      </w:r>
    </w:p>
    <w:p w14:paraId="26E3FC4D" w14:textId="77777777" w:rsidR="00A63807" w:rsidRDefault="00000000">
      <w:pPr>
        <w:spacing w:after="140"/>
        <w:jc w:val="center"/>
      </w:pPr>
      <w:r>
        <w:rPr>
          <w:rFonts w:ascii="Cambria Math" w:hAnsi="Cambria Math"/>
          <w:i/>
        </w:rPr>
        <w:t>x'ᵢ,f = (xᵢ,f − μ_f^train) / (σ_f^train + ε)</w:t>
      </w:r>
    </w:p>
    <w:p w14:paraId="1352CFE5" w14:textId="77777777" w:rsidR="00A63807" w:rsidRDefault="00000000">
      <w:pPr>
        <w:spacing w:after="100" w:line="259" w:lineRule="auto"/>
      </w:pPr>
      <w:r>
        <w:t>Here μ_f^train and σ_f^train are the training mean and standard deviation for feature f, and ε avoids division by zero. For near-constant features, follow the scaler’s documented behavior. Persist the scaler with the model so inference uses the same transformation.</w:t>
      </w:r>
    </w:p>
    <w:p w14:paraId="6AFE4753" w14:textId="77777777" w:rsidR="00A63807" w:rsidRDefault="00000000">
      <w:pPr>
        <w:spacing w:after="100" w:line="259" w:lineRule="auto"/>
      </w:pPr>
      <w:r>
        <w:t>Uncertainty needs special treatment because it is both an input and a gate variable. Standardizing uᵢ may help neural optimization, but the physical threshold uᵢ ≤ τᵤ should ordinarily be applied to raw uncertainty or with a threshold transformed consistently into standardized space. Applying a raw threshold to standardized values is a unit mismatch and can invalidate the gate.</w:t>
      </w:r>
    </w:p>
    <w:p w14:paraId="380331C4" w14:textId="77777777" w:rsidR="00A63807" w:rsidRDefault="00000000">
      <w:pPr>
        <w:spacing w:after="100" w:line="259" w:lineRule="auto"/>
      </w:pPr>
      <w:r>
        <w:t>Labels are stored as class IDs in {0,1,2,3} or {1,2,3,4}, depending on the dataset convention. The mapping must be recorded. Unlabeled nodes use −1 and are excluded from supervised loss. Labels must not be included as node input features, and target-derived fields must not enter preprocessing.</w:t>
      </w:r>
    </w:p>
    <w:p w14:paraId="6D98F45B" w14:textId="77777777" w:rsidR="00A63807" w:rsidRDefault="00000000">
      <w:pPr>
        <w:pStyle w:val="Heading21"/>
        <w:keepNext/>
      </w:pPr>
      <w:r>
        <w:t>3.3 Strict Isolation Protocols to Prevent Data Leakage</w:t>
      </w:r>
    </w:p>
    <w:p w14:paraId="1FE34431" w14:textId="77777777" w:rsidR="00A63807" w:rsidRDefault="00000000">
      <w:pPr>
        <w:spacing w:after="100" w:line="259" w:lineRule="auto"/>
      </w:pPr>
      <w:r>
        <w:t>Data leakage occurs when validation or test information influences a transformation, model parameter, graph construction rule, threshold, or training decision that should be determined from training data. Leakage can create inflated metrics that do not reflect generalization. In graph learning, risks include global scaling, scenario overlap, cross-partition edges, target-derived graph features, duplicated users, and test-driven threshold tuning.</w:t>
      </w:r>
    </w:p>
    <w:p w14:paraId="6CBBCC76" w14:textId="77777777" w:rsidR="00A63807" w:rsidRDefault="00000000">
      <w:pPr>
        <w:spacing w:after="100" w:line="259" w:lineRule="auto"/>
      </w:pPr>
      <w:r>
        <w:t>The mandatory control is to fit standard feature scaling only on training scenario splits. The protocol is:</w:t>
      </w:r>
    </w:p>
    <w:p w14:paraId="7B9FC1B3" w14:textId="77777777" w:rsidR="00A63807" w:rsidRDefault="00000000">
      <w:pPr>
        <w:pStyle w:val="ListNumber1"/>
        <w:spacing w:after="60"/>
      </w:pPr>
      <w:r>
        <w:t>Assign scenario IDs to train, validation, and test partitions before fitting preprocessing parameters.</w:t>
      </w:r>
    </w:p>
    <w:p w14:paraId="3AD6F387" w14:textId="77777777" w:rsidR="00A63807" w:rsidRDefault="00000000">
      <w:pPr>
        <w:pStyle w:val="ListNumber1"/>
        <w:spacing w:after="60"/>
      </w:pPr>
      <w:r>
        <w:t>Fit the scaler only on training scenarios and persist fitted means/scales.</w:t>
      </w:r>
    </w:p>
    <w:p w14:paraId="6349537D" w14:textId="77777777" w:rsidR="00A63807" w:rsidRDefault="00000000">
      <w:pPr>
        <w:pStyle w:val="ListNumber1"/>
        <w:spacing w:after="60"/>
      </w:pPr>
      <w:r>
        <w:t>Transform validation and test features with the frozen scaler; never call fit or fit_transform on these partitions.</w:t>
      </w:r>
    </w:p>
    <w:p w14:paraId="0F14CD43" w14:textId="77777777" w:rsidR="00A63807" w:rsidRDefault="00000000">
      <w:pPr>
        <w:pStyle w:val="ListNumber1"/>
        <w:spacing w:after="60"/>
      </w:pPr>
      <w:r>
        <w:t>Construct each scenario graph independently unless cross-scenario edges are explicitly part of the design.</w:t>
      </w:r>
    </w:p>
    <w:p w14:paraId="2C133791" w14:textId="77777777" w:rsidR="00A63807" w:rsidRDefault="00000000">
      <w:pPr>
        <w:pStyle w:val="ListNumber1"/>
        <w:spacing w:after="60"/>
      </w:pPr>
      <w:r>
        <w:t>Use validation data for selecting λ, μ, τᵤ, architecture settings, graph settings, and early stopping.</w:t>
      </w:r>
    </w:p>
    <w:p w14:paraId="7847804D" w14:textId="77777777" w:rsidR="00A63807" w:rsidRDefault="00000000">
      <w:pPr>
        <w:pStyle w:val="ListNumber1"/>
        <w:spacing w:after="60"/>
      </w:pPr>
      <w:r>
        <w:t>Freeze the selected configuration before evaluating on the isolated test set.</w:t>
      </w:r>
    </w:p>
    <w:p w14:paraId="6A1206E0" w14:textId="77777777" w:rsidR="00A63807" w:rsidRDefault="00000000">
      <w:pPr>
        <w:pStyle w:val="ListNumber1"/>
        <w:spacing w:after="60"/>
      </w:pPr>
      <w:r>
        <w:t>Keep test labels out of training, pseudo-label generation, threshold tuning, and model selection.</w:t>
      </w:r>
    </w:p>
    <w:p w14:paraId="509EB7C9" w14:textId="77777777" w:rsidR="00A63807" w:rsidRDefault="00000000">
      <w:pPr>
        <w:pStyle w:val="ListNumber1"/>
        <w:spacing w:after="60"/>
      </w:pPr>
      <w:r>
        <w:t>Save split IDs and preprocessing metadata with each run for auditability.</w:t>
      </w:r>
    </w:p>
    <w:p w14:paraId="73FD6FE2" w14:textId="77777777" w:rsidR="00A63807" w:rsidRDefault="00000000">
      <w:pPr>
        <w:spacing w:after="100" w:line="259" w:lineRule="auto"/>
      </w:pPr>
      <w:r>
        <w:t>A 70%/15%/15% split over 100 scenarios corresponds to 70 training, 15 validation, and 15 test scenarios. With 20 users per scenario, this yields 1,400, 300, and 300 user records, assuming every scenario contains exactly 20 valid users. Scenario-level splitting is preferable to random row splitting when users within a scenario share correlated channel conditions.</w:t>
      </w:r>
    </w:p>
    <w:tbl>
      <w:tblPr>
        <w:tblStyle w:val="TableGrid1"/>
        <w:tblW w:w="0" w:type="auto"/>
        <w:tblInd w:w="0" w:type="dxa"/>
        <w:tblCellMar>
          <w:top w:w="0" w:type="dxa"/>
          <w:left w:w="0" w:type="dxa"/>
          <w:bottom w:w="0" w:type="dxa"/>
          <w:right w:w="0" w:type="dxa"/>
        </w:tblCellMar>
        <w:tblLook w:val="04A0" w:firstRow="1" w:lastRow="0" w:firstColumn="1" w:lastColumn="0" w:noHBand="0" w:noVBand="1"/>
      </w:tblPr>
      <w:tblGrid>
        <w:gridCol w:w="3292"/>
        <w:gridCol w:w="3293"/>
        <w:gridCol w:w="3293"/>
      </w:tblGrid>
      <w:tr w:rsidR="00A63807" w14:paraId="64573CA4" w14:textId="77777777">
        <w:tblPrEx>
          <w:tblCellMar>
            <w:top w:w="0" w:type="dxa"/>
            <w:left w:w="0" w:type="dxa"/>
            <w:bottom w:w="0" w:type="dxa"/>
            <w:right w:w="0" w:type="dxa"/>
          </w:tblCellMar>
        </w:tblPrEx>
        <w:tc>
          <w:tcPr>
            <w:tcW w:w="3293" w:type="dxa"/>
            <w:shd w:val="clear" w:color="auto" w:fill="D9EAF7"/>
          </w:tcPr>
          <w:p w14:paraId="5CBA3772" w14:textId="77777777" w:rsidR="00A63807" w:rsidRDefault="00000000">
            <w:r>
              <w:rPr>
                <w:b/>
                <w:sz w:val="18"/>
              </w:rPr>
              <w:t>Leakage risk</w:t>
            </w:r>
          </w:p>
        </w:tc>
        <w:tc>
          <w:tcPr>
            <w:tcW w:w="3293" w:type="dxa"/>
            <w:shd w:val="clear" w:color="auto" w:fill="D9EAF7"/>
          </w:tcPr>
          <w:p w14:paraId="6EEE047A" w14:textId="77777777" w:rsidR="00A63807" w:rsidRDefault="00000000">
            <w:r>
              <w:rPr>
                <w:b/>
                <w:sz w:val="18"/>
              </w:rPr>
              <w:t>Control</w:t>
            </w:r>
          </w:p>
        </w:tc>
        <w:tc>
          <w:tcPr>
            <w:tcW w:w="3293" w:type="dxa"/>
            <w:shd w:val="clear" w:color="auto" w:fill="D9EAF7"/>
          </w:tcPr>
          <w:p w14:paraId="3C2EA406" w14:textId="77777777" w:rsidR="00A63807" w:rsidRDefault="00000000">
            <w:r>
              <w:rPr>
                <w:b/>
                <w:sz w:val="18"/>
              </w:rPr>
              <w:t>Verification test</w:t>
            </w:r>
          </w:p>
        </w:tc>
      </w:tr>
      <w:tr w:rsidR="00A63807" w14:paraId="158785BC" w14:textId="77777777">
        <w:tblPrEx>
          <w:tblCellMar>
            <w:top w:w="0" w:type="dxa"/>
            <w:left w:w="0" w:type="dxa"/>
            <w:bottom w:w="0" w:type="dxa"/>
            <w:right w:w="0" w:type="dxa"/>
          </w:tblCellMar>
        </w:tblPrEx>
        <w:tc>
          <w:tcPr>
            <w:tcW w:w="3293" w:type="dxa"/>
          </w:tcPr>
          <w:p w14:paraId="01BE3DD8" w14:textId="77777777" w:rsidR="00A63807" w:rsidRDefault="00000000">
            <w:pPr>
              <w:spacing w:after="40"/>
            </w:pPr>
            <w:r>
              <w:rPr>
                <w:sz w:val="17"/>
              </w:rPr>
              <w:t>Scaler fit on all rows</w:t>
            </w:r>
          </w:p>
        </w:tc>
        <w:tc>
          <w:tcPr>
            <w:tcW w:w="3293" w:type="dxa"/>
          </w:tcPr>
          <w:p w14:paraId="7A5727E9" w14:textId="77777777" w:rsidR="00A63807" w:rsidRDefault="00000000">
            <w:pPr>
              <w:spacing w:after="40"/>
            </w:pPr>
            <w:r>
              <w:rPr>
                <w:sz w:val="17"/>
              </w:rPr>
              <w:t>Fit on training scenarios only</w:t>
            </w:r>
          </w:p>
        </w:tc>
        <w:tc>
          <w:tcPr>
            <w:tcW w:w="3293" w:type="dxa"/>
          </w:tcPr>
          <w:p w14:paraId="7CA3086F" w14:textId="77777777" w:rsidR="00A63807" w:rsidRDefault="00000000">
            <w:pPr>
              <w:spacing w:after="40"/>
            </w:pPr>
            <w:r>
              <w:rPr>
                <w:sz w:val="17"/>
              </w:rPr>
              <w:t>Check scaler sample count/statistics against training subset</w:t>
            </w:r>
          </w:p>
        </w:tc>
      </w:tr>
      <w:tr w:rsidR="00A63807" w14:paraId="542F3080" w14:textId="77777777">
        <w:tblPrEx>
          <w:tblCellMar>
            <w:top w:w="0" w:type="dxa"/>
            <w:left w:w="0" w:type="dxa"/>
            <w:bottom w:w="0" w:type="dxa"/>
            <w:right w:w="0" w:type="dxa"/>
          </w:tblCellMar>
        </w:tblPrEx>
        <w:tc>
          <w:tcPr>
            <w:tcW w:w="3293" w:type="dxa"/>
          </w:tcPr>
          <w:p w14:paraId="0B223712" w14:textId="77777777" w:rsidR="00A63807" w:rsidRDefault="00000000">
            <w:pPr>
              <w:spacing w:after="40"/>
            </w:pPr>
            <w:r>
              <w:rPr>
                <w:sz w:val="17"/>
              </w:rPr>
              <w:t>Scenario overlap</w:t>
            </w:r>
          </w:p>
        </w:tc>
        <w:tc>
          <w:tcPr>
            <w:tcW w:w="3293" w:type="dxa"/>
          </w:tcPr>
          <w:p w14:paraId="3AA762BD" w14:textId="77777777" w:rsidR="00A63807" w:rsidRDefault="00000000">
            <w:pPr>
              <w:spacing w:after="40"/>
            </w:pPr>
            <w:r>
              <w:rPr>
                <w:sz w:val="17"/>
              </w:rPr>
              <w:t>Split by scenario ID</w:t>
            </w:r>
          </w:p>
        </w:tc>
        <w:tc>
          <w:tcPr>
            <w:tcW w:w="3293" w:type="dxa"/>
          </w:tcPr>
          <w:p w14:paraId="4283C527" w14:textId="77777777" w:rsidR="00A63807" w:rsidRDefault="00000000">
            <w:pPr>
              <w:spacing w:after="40"/>
            </w:pPr>
            <w:r>
              <w:rPr>
                <w:sz w:val="17"/>
              </w:rPr>
              <w:t>Assert partition ID sets are pairwise disjoint</w:t>
            </w:r>
          </w:p>
        </w:tc>
      </w:tr>
      <w:tr w:rsidR="00A63807" w14:paraId="0AF00544" w14:textId="77777777">
        <w:tblPrEx>
          <w:tblCellMar>
            <w:top w:w="0" w:type="dxa"/>
            <w:left w:w="0" w:type="dxa"/>
            <w:bottom w:w="0" w:type="dxa"/>
            <w:right w:w="0" w:type="dxa"/>
          </w:tblCellMar>
        </w:tblPrEx>
        <w:tc>
          <w:tcPr>
            <w:tcW w:w="3293" w:type="dxa"/>
          </w:tcPr>
          <w:p w14:paraId="31647558" w14:textId="77777777" w:rsidR="00A63807" w:rsidRDefault="00000000">
            <w:pPr>
              <w:spacing w:after="40"/>
            </w:pPr>
            <w:r>
              <w:rPr>
                <w:sz w:val="17"/>
              </w:rPr>
              <w:lastRenderedPageBreak/>
              <w:t>Cross-split graph edges</w:t>
            </w:r>
          </w:p>
        </w:tc>
        <w:tc>
          <w:tcPr>
            <w:tcW w:w="3293" w:type="dxa"/>
          </w:tcPr>
          <w:p w14:paraId="75F67873" w14:textId="77777777" w:rsidR="00A63807" w:rsidRDefault="00000000">
            <w:pPr>
              <w:spacing w:after="40"/>
            </w:pPr>
            <w:r>
              <w:rPr>
                <w:sz w:val="17"/>
              </w:rPr>
              <w:t>Build one graph per scenario after split</w:t>
            </w:r>
          </w:p>
        </w:tc>
        <w:tc>
          <w:tcPr>
            <w:tcW w:w="3293" w:type="dxa"/>
          </w:tcPr>
          <w:p w14:paraId="0B77B88F" w14:textId="77777777" w:rsidR="00A63807" w:rsidRDefault="00000000">
            <w:pPr>
              <w:spacing w:after="40"/>
            </w:pPr>
            <w:r>
              <w:rPr>
                <w:sz w:val="17"/>
              </w:rPr>
              <w:t>Check each graph’s nodes belong to one scenario/split</w:t>
            </w:r>
          </w:p>
        </w:tc>
      </w:tr>
      <w:tr w:rsidR="00A63807" w14:paraId="4EFEB7FD" w14:textId="77777777">
        <w:tblPrEx>
          <w:tblCellMar>
            <w:top w:w="0" w:type="dxa"/>
            <w:left w:w="0" w:type="dxa"/>
            <w:bottom w:w="0" w:type="dxa"/>
            <w:right w:w="0" w:type="dxa"/>
          </w:tblCellMar>
        </w:tblPrEx>
        <w:tc>
          <w:tcPr>
            <w:tcW w:w="3293" w:type="dxa"/>
          </w:tcPr>
          <w:p w14:paraId="3506C7D6" w14:textId="77777777" w:rsidR="00A63807" w:rsidRDefault="00000000">
            <w:pPr>
              <w:spacing w:after="40"/>
            </w:pPr>
            <w:r>
              <w:rPr>
                <w:sz w:val="17"/>
              </w:rPr>
              <w:t>Test-driven tuning</w:t>
            </w:r>
          </w:p>
        </w:tc>
        <w:tc>
          <w:tcPr>
            <w:tcW w:w="3293" w:type="dxa"/>
          </w:tcPr>
          <w:p w14:paraId="602D372E" w14:textId="77777777" w:rsidR="00A63807" w:rsidRDefault="00000000">
            <w:pPr>
              <w:spacing w:after="40"/>
            </w:pPr>
            <w:r>
              <w:rPr>
                <w:sz w:val="17"/>
              </w:rPr>
              <w:t>Tune on validation only</w:t>
            </w:r>
          </w:p>
        </w:tc>
        <w:tc>
          <w:tcPr>
            <w:tcW w:w="3293" w:type="dxa"/>
          </w:tcPr>
          <w:p w14:paraId="41AAC2C4" w14:textId="77777777" w:rsidR="00A63807" w:rsidRDefault="00000000">
            <w:pPr>
              <w:spacing w:after="40"/>
            </w:pPr>
            <w:r>
              <w:rPr>
                <w:sz w:val="17"/>
              </w:rPr>
              <w:t>Log threshold-selection split and freeze before test</w:t>
            </w:r>
          </w:p>
        </w:tc>
      </w:tr>
      <w:tr w:rsidR="00A63807" w14:paraId="3CA56E08" w14:textId="77777777">
        <w:tblPrEx>
          <w:tblCellMar>
            <w:top w:w="0" w:type="dxa"/>
            <w:left w:w="0" w:type="dxa"/>
            <w:bottom w:w="0" w:type="dxa"/>
            <w:right w:w="0" w:type="dxa"/>
          </w:tblCellMar>
        </w:tblPrEx>
        <w:tc>
          <w:tcPr>
            <w:tcW w:w="3293" w:type="dxa"/>
          </w:tcPr>
          <w:p w14:paraId="1CE53623" w14:textId="77777777" w:rsidR="00A63807" w:rsidRDefault="00000000">
            <w:pPr>
              <w:spacing w:after="40"/>
            </w:pPr>
            <w:r>
              <w:rPr>
                <w:sz w:val="17"/>
              </w:rPr>
              <w:t>Label leakage</w:t>
            </w:r>
          </w:p>
        </w:tc>
        <w:tc>
          <w:tcPr>
            <w:tcW w:w="3293" w:type="dxa"/>
          </w:tcPr>
          <w:p w14:paraId="205A8C4C" w14:textId="77777777" w:rsidR="00A63807" w:rsidRDefault="00000000">
            <w:pPr>
              <w:spacing w:after="40"/>
            </w:pPr>
            <w:r>
              <w:rPr>
                <w:sz w:val="17"/>
              </w:rPr>
              <w:t>Exclude labels/target-derived fields from X</w:t>
            </w:r>
          </w:p>
        </w:tc>
        <w:tc>
          <w:tcPr>
            <w:tcW w:w="3293" w:type="dxa"/>
          </w:tcPr>
          <w:p w14:paraId="4CC50032" w14:textId="77777777" w:rsidR="00A63807" w:rsidRDefault="00000000">
            <w:pPr>
              <w:spacing w:after="40"/>
            </w:pPr>
            <w:r>
              <w:rPr>
                <w:sz w:val="17"/>
              </w:rPr>
              <w:t>Schema allowlist test</w:t>
            </w:r>
          </w:p>
        </w:tc>
      </w:tr>
      <w:tr w:rsidR="00A63807" w14:paraId="5F10E4FF" w14:textId="77777777">
        <w:tblPrEx>
          <w:tblCellMar>
            <w:top w:w="0" w:type="dxa"/>
            <w:left w:w="0" w:type="dxa"/>
            <w:bottom w:w="0" w:type="dxa"/>
            <w:right w:w="0" w:type="dxa"/>
          </w:tblCellMar>
        </w:tblPrEx>
        <w:tc>
          <w:tcPr>
            <w:tcW w:w="3293" w:type="dxa"/>
          </w:tcPr>
          <w:p w14:paraId="317B0A04" w14:textId="77777777" w:rsidR="00A63807" w:rsidRDefault="00000000">
            <w:pPr>
              <w:spacing w:after="40"/>
            </w:pPr>
            <w:r>
              <w:rPr>
                <w:sz w:val="17"/>
              </w:rPr>
              <w:t>Wrong uncertainty scale</w:t>
            </w:r>
          </w:p>
        </w:tc>
        <w:tc>
          <w:tcPr>
            <w:tcW w:w="3293" w:type="dxa"/>
          </w:tcPr>
          <w:p w14:paraId="583BFE83" w14:textId="77777777" w:rsidR="00A63807" w:rsidRDefault="00000000">
            <w:pPr>
              <w:spacing w:after="40"/>
            </w:pPr>
            <w:r>
              <w:rPr>
                <w:sz w:val="17"/>
              </w:rPr>
              <w:t>Gate on raw u or transformed τᵤ consistently</w:t>
            </w:r>
          </w:p>
        </w:tc>
        <w:tc>
          <w:tcPr>
            <w:tcW w:w="3293" w:type="dxa"/>
          </w:tcPr>
          <w:p w14:paraId="109FD73C" w14:textId="77777777" w:rsidR="00A63807" w:rsidRDefault="00000000">
            <w:pPr>
              <w:spacing w:after="40"/>
            </w:pPr>
            <w:r>
              <w:rPr>
                <w:sz w:val="17"/>
              </w:rPr>
              <w:t>Unit tests around threshold boundary</w:t>
            </w:r>
          </w:p>
        </w:tc>
      </w:tr>
      <w:tr w:rsidR="00A63807" w14:paraId="4650DD9D" w14:textId="77777777">
        <w:tblPrEx>
          <w:tblCellMar>
            <w:top w:w="0" w:type="dxa"/>
            <w:left w:w="0" w:type="dxa"/>
            <w:bottom w:w="0" w:type="dxa"/>
            <w:right w:w="0" w:type="dxa"/>
          </w:tblCellMar>
        </w:tblPrEx>
        <w:tc>
          <w:tcPr>
            <w:tcW w:w="3293" w:type="dxa"/>
          </w:tcPr>
          <w:p w14:paraId="262E006D" w14:textId="77777777" w:rsidR="00A63807" w:rsidRDefault="00000000">
            <w:pPr>
              <w:spacing w:after="40"/>
            </w:pPr>
            <w:r>
              <w:rPr>
                <w:sz w:val="17"/>
              </w:rPr>
              <w:t>Duplicate users/scenarios</w:t>
            </w:r>
          </w:p>
        </w:tc>
        <w:tc>
          <w:tcPr>
            <w:tcW w:w="3293" w:type="dxa"/>
          </w:tcPr>
          <w:p w14:paraId="4DD31DC1" w14:textId="77777777" w:rsidR="00A63807" w:rsidRDefault="00000000">
            <w:pPr>
              <w:spacing w:after="40"/>
            </w:pPr>
            <w:r>
              <w:rPr>
                <w:sz w:val="17"/>
              </w:rPr>
              <w:t>Stable identifiers and deduplication policy</w:t>
            </w:r>
          </w:p>
        </w:tc>
        <w:tc>
          <w:tcPr>
            <w:tcW w:w="3293" w:type="dxa"/>
          </w:tcPr>
          <w:p w14:paraId="37294BE2" w14:textId="77777777" w:rsidR="00A63807" w:rsidRDefault="00000000">
            <w:pPr>
              <w:spacing w:after="40"/>
            </w:pPr>
            <w:r>
              <w:rPr>
                <w:sz w:val="17"/>
              </w:rPr>
              <w:t>Check key uniqueness and provenance</w:t>
            </w:r>
          </w:p>
        </w:tc>
      </w:tr>
    </w:tbl>
    <w:p w14:paraId="2752B8F0" w14:textId="77777777" w:rsidR="00A63807" w:rsidRDefault="00A63807"/>
    <w:p w14:paraId="2B8D8E0E" w14:textId="77777777" w:rsidR="00A63807" w:rsidRDefault="00000000">
      <w:pPr>
        <w:spacing w:after="100" w:line="259" w:lineRule="auto"/>
      </w:pPr>
      <w:r>
        <w:t>Scenario-level separation does not guarantee independence if scenarios share underlying seeds, layouts, or near-identical channel realizations. Dataset construction should document whether scenarios are independent draws, temporal snapshots, or variants of a common layout. If dependence is strong, a stricter split by seed, trajectory, or deployment configuration may be necessary.</w:t>
      </w:r>
    </w:p>
    <w:p w14:paraId="708F71C5" w14:textId="77777777" w:rsidR="00A63807" w:rsidRDefault="00000000">
      <w:pPr>
        <w:pStyle w:val="Heading21"/>
        <w:keepNext/>
      </w:pPr>
      <w:r>
        <w:t>3.4 Graph Construction Framework: k-NN, Gaussian Channel Similarity, and Fully Connected Graphs</w:t>
      </w:r>
    </w:p>
    <w:p w14:paraId="4A0C85BB" w14:textId="77777777" w:rsidR="00A63807" w:rsidRDefault="00000000">
      <w:pPr>
        <w:spacing w:after="100" w:line="259" w:lineRule="auto"/>
      </w:pPr>
      <w:r>
        <w:t>Graph construction transforms each scenario’s feature matrix into edge_index and optional edge weights. The system supports kNN with k = 4, Gaussian channel-similarity weighting, and fully connected topology. The selected builder and its parameters should be saved in the experiment configuration and attached to outputs.</w:t>
      </w:r>
    </w:p>
    <w:p w14:paraId="5D7337D0" w14:textId="77777777" w:rsidR="00A63807" w:rsidRDefault="00000000">
      <w:pPr>
        <w:pStyle w:val="Heading31"/>
        <w:keepNext/>
      </w:pPr>
      <w:r>
        <w:t>k-Nearest Neighbors (k = 4)</w:t>
      </w:r>
    </w:p>
    <w:p w14:paraId="28312172" w14:textId="77777777" w:rsidR="00A63807" w:rsidRDefault="00000000">
      <w:pPr>
        <w:spacing w:after="100" w:line="259" w:lineRule="auto"/>
      </w:pPr>
      <w:r>
        <w:t>For each node i, calculate δ(qᵢ,qⱼ) between chosen representations qᵢ and qⱼ. Select the four closest non-self users. The graph can remain directed or be symmetrized. Union symmetrization adds an undirected edge if either endpoint selects the other; mutual kNN requires both endpoints to select each other. These policies create different degree distributions and must be fixed.</w:t>
      </w:r>
    </w:p>
    <w:p w14:paraId="7FDCE80E" w14:textId="77777777" w:rsidR="00A63807" w:rsidRDefault="00000000">
      <w:pPr>
        <w:spacing w:after="100" w:line="259" w:lineRule="auto"/>
      </w:pPr>
      <w:r>
        <w:t>Algorithm 3.1 — kNN graph construction:</w:t>
      </w:r>
    </w:p>
    <w:p w14:paraId="58BF5287" w14:textId="77777777" w:rsidR="00A63807" w:rsidRDefault="00000000">
      <w:pPr>
        <w:pStyle w:val="ListNumber1"/>
        <w:spacing w:after="60"/>
      </w:pPr>
      <w:r>
        <w:t>Choose the representation qᵢ and distance metric δ before training.</w:t>
      </w:r>
    </w:p>
    <w:p w14:paraId="3ECDDF2F" w14:textId="77777777" w:rsidR="00A63807" w:rsidRDefault="00000000">
      <w:pPr>
        <w:pStyle w:val="ListNumber1"/>
        <w:spacing w:after="60"/>
      </w:pPr>
      <w:r>
        <w:t>For every user i, calculate δ(qᵢ,qⱼ) for all j ≠ i in the same scenario.</w:t>
      </w:r>
    </w:p>
    <w:p w14:paraId="7AF7D541" w14:textId="77777777" w:rsidR="00A63807" w:rsidRDefault="00000000">
      <w:pPr>
        <w:pStyle w:val="ListNumber1"/>
        <w:spacing w:after="60"/>
      </w:pPr>
      <w:r>
        <w:t>Select the k = 4 smallest distances and create edges to those neighbors.</w:t>
      </w:r>
    </w:p>
    <w:p w14:paraId="10BD0DE3" w14:textId="77777777" w:rsidR="00A63807" w:rsidRDefault="00000000">
      <w:pPr>
        <w:pStyle w:val="ListNumber1"/>
        <w:spacing w:after="60"/>
      </w:pPr>
      <w:r>
        <w:t>Apply the documented symmetrization rule if an undirected graph is required.</w:t>
      </w:r>
    </w:p>
    <w:p w14:paraId="3FCA66E7" w14:textId="77777777" w:rsidR="00A63807" w:rsidRDefault="00000000">
      <w:pPr>
        <w:pStyle w:val="ListNumber1"/>
        <w:spacing w:after="60"/>
      </w:pPr>
      <w:r>
        <w:t>Optionally convert distances to weights and store edge_index and edge_weight.</w:t>
      </w:r>
    </w:p>
    <w:p w14:paraId="52DA708D" w14:textId="77777777" w:rsidR="00A63807" w:rsidRDefault="00000000">
      <w:pPr>
        <w:pStyle w:val="ListNumber1"/>
        <w:spacing w:after="60"/>
      </w:pPr>
      <w:r>
        <w:t>Validate index range, self-edge policy, symmetry, and edge count.</w:t>
      </w:r>
    </w:p>
    <w:p w14:paraId="211CB9C0" w14:textId="77777777" w:rsidR="00A63807" w:rsidRDefault="00000000">
      <w:pPr>
        <w:pStyle w:val="Heading31"/>
        <w:keepNext/>
      </w:pPr>
      <w:r>
        <w:t>Gaussian Channel Similarity</w:t>
      </w:r>
    </w:p>
    <w:p w14:paraId="660EBD22" w14:textId="77777777" w:rsidR="00A63807" w:rsidRDefault="00000000">
      <w:pPr>
        <w:spacing w:after="100" w:line="259" w:lineRule="auto"/>
      </w:pPr>
      <w:r>
        <w:t>A Gaussian kernel converts distance into a continuous weight, wᵢⱼ = exp(−||qᵢ−qⱼ||²/(2σ²)). The implementation must decide whether to retain all pairwise weights or only weights among a sparse neighbor set. The scale σ should be selected from training data or a predefined physical interpretation and then frozen. If similarity uses standardized features, the same training-fitted scaler must be used. If it uses complex CSI, the representation and distance metric should be defined explicitly.</w:t>
      </w:r>
    </w:p>
    <w:p w14:paraId="5E7ABF01" w14:textId="77777777" w:rsidR="00A63807" w:rsidRDefault="00000000">
      <w:pPr>
        <w:pStyle w:val="Heading31"/>
        <w:keepNext/>
      </w:pPr>
      <w:r>
        <w:t>Fully Connected Graph</w:t>
      </w:r>
    </w:p>
    <w:p w14:paraId="25FE7AA8" w14:textId="77777777" w:rsidR="00A63807" w:rsidRDefault="00000000">
      <w:pPr>
        <w:spacing w:after="100" w:line="259" w:lineRule="auto"/>
      </w:pPr>
      <w:r>
        <w:t>A fully connected graph connects every pair of distinct users. For N = 20, the undirected edge count is 20×19/2 = 190, and the directed edge list contains 20×19 = 380 ordered pairs when self-edges are excluded. This topology provides global context in one message-passing layer but can mix weakly related users. If the convolution adds self-loops internally, avoid duplicate self-loops in the stored edge list.</w:t>
      </w:r>
    </w:p>
    <w:tbl>
      <w:tblPr>
        <w:tblStyle w:val="TableGrid1"/>
        <w:tblW w:w="0" w:type="auto"/>
        <w:tblInd w:w="0" w:type="dxa"/>
        <w:tblCellMar>
          <w:top w:w="0" w:type="dxa"/>
          <w:left w:w="0" w:type="dxa"/>
          <w:bottom w:w="0" w:type="dxa"/>
          <w:right w:w="0" w:type="dxa"/>
        </w:tblCellMar>
        <w:tblLook w:val="04A0" w:firstRow="1" w:lastRow="0" w:firstColumn="1" w:lastColumn="0" w:noHBand="0" w:noVBand="1"/>
      </w:tblPr>
      <w:tblGrid>
        <w:gridCol w:w="2469"/>
        <w:gridCol w:w="2469"/>
        <w:gridCol w:w="2469"/>
        <w:gridCol w:w="2469"/>
      </w:tblGrid>
      <w:tr w:rsidR="00A63807" w14:paraId="0117C9DE" w14:textId="77777777">
        <w:tblPrEx>
          <w:tblCellMar>
            <w:top w:w="0" w:type="dxa"/>
            <w:left w:w="0" w:type="dxa"/>
            <w:bottom w:w="0" w:type="dxa"/>
            <w:right w:w="0" w:type="dxa"/>
          </w:tblCellMar>
        </w:tblPrEx>
        <w:tc>
          <w:tcPr>
            <w:tcW w:w="2469" w:type="dxa"/>
            <w:shd w:val="clear" w:color="auto" w:fill="D9EAF7"/>
          </w:tcPr>
          <w:p w14:paraId="2EB44B16" w14:textId="77777777" w:rsidR="00A63807" w:rsidRDefault="00000000">
            <w:r>
              <w:rPr>
                <w:b/>
                <w:sz w:val="18"/>
              </w:rPr>
              <w:t>Builder</w:t>
            </w:r>
          </w:p>
        </w:tc>
        <w:tc>
          <w:tcPr>
            <w:tcW w:w="2469" w:type="dxa"/>
            <w:shd w:val="clear" w:color="auto" w:fill="D9EAF7"/>
          </w:tcPr>
          <w:p w14:paraId="55B14C7B" w14:textId="77777777" w:rsidR="00A63807" w:rsidRDefault="00000000">
            <w:r>
              <w:rPr>
                <w:b/>
                <w:sz w:val="18"/>
              </w:rPr>
              <w:t>Connectivity rule</w:t>
            </w:r>
          </w:p>
        </w:tc>
        <w:tc>
          <w:tcPr>
            <w:tcW w:w="2469" w:type="dxa"/>
            <w:shd w:val="clear" w:color="auto" w:fill="D9EAF7"/>
          </w:tcPr>
          <w:p w14:paraId="0DCFDB16" w14:textId="77777777" w:rsidR="00A63807" w:rsidRDefault="00000000">
            <w:r>
              <w:rPr>
                <w:b/>
                <w:sz w:val="18"/>
              </w:rPr>
              <w:t>Advantages</w:t>
            </w:r>
          </w:p>
        </w:tc>
        <w:tc>
          <w:tcPr>
            <w:tcW w:w="2469" w:type="dxa"/>
            <w:shd w:val="clear" w:color="auto" w:fill="D9EAF7"/>
          </w:tcPr>
          <w:p w14:paraId="7A148AA5" w14:textId="77777777" w:rsidR="00A63807" w:rsidRDefault="00000000">
            <w:r>
              <w:rPr>
                <w:b/>
                <w:sz w:val="18"/>
              </w:rPr>
              <w:t>Limitations / controls</w:t>
            </w:r>
          </w:p>
        </w:tc>
      </w:tr>
      <w:tr w:rsidR="00A63807" w14:paraId="10A57FB7" w14:textId="77777777">
        <w:tblPrEx>
          <w:tblCellMar>
            <w:top w:w="0" w:type="dxa"/>
            <w:left w:w="0" w:type="dxa"/>
            <w:bottom w:w="0" w:type="dxa"/>
            <w:right w:w="0" w:type="dxa"/>
          </w:tblCellMar>
        </w:tblPrEx>
        <w:tc>
          <w:tcPr>
            <w:tcW w:w="2469" w:type="dxa"/>
          </w:tcPr>
          <w:p w14:paraId="08A7E8BF" w14:textId="77777777" w:rsidR="00A63807" w:rsidRDefault="00000000">
            <w:pPr>
              <w:spacing w:after="40"/>
            </w:pPr>
            <w:r>
              <w:rPr>
                <w:sz w:val="17"/>
              </w:rPr>
              <w:t>kNN, k=4</w:t>
            </w:r>
          </w:p>
        </w:tc>
        <w:tc>
          <w:tcPr>
            <w:tcW w:w="2469" w:type="dxa"/>
          </w:tcPr>
          <w:p w14:paraId="2C98A97A" w14:textId="77777777" w:rsidR="00A63807" w:rsidRDefault="00000000">
            <w:pPr>
              <w:spacing w:after="40"/>
            </w:pPr>
            <w:r>
              <w:rPr>
                <w:sz w:val="17"/>
              </w:rPr>
              <w:t xml:space="preserve">Connect to four nearest users; </w:t>
            </w:r>
            <w:r>
              <w:rPr>
                <w:sz w:val="17"/>
              </w:rPr>
              <w:lastRenderedPageBreak/>
              <w:t>symmetrization documented</w:t>
            </w:r>
          </w:p>
        </w:tc>
        <w:tc>
          <w:tcPr>
            <w:tcW w:w="2469" w:type="dxa"/>
          </w:tcPr>
          <w:p w14:paraId="77AA743D" w14:textId="77777777" w:rsidR="00A63807" w:rsidRDefault="00000000">
            <w:pPr>
              <w:spacing w:after="40"/>
            </w:pPr>
            <w:r>
              <w:rPr>
                <w:sz w:val="17"/>
              </w:rPr>
              <w:lastRenderedPageBreak/>
              <w:t xml:space="preserve">Sparse local structure; lower </w:t>
            </w:r>
            <w:r>
              <w:rPr>
                <w:sz w:val="17"/>
              </w:rPr>
              <w:lastRenderedPageBreak/>
              <w:t>message cost</w:t>
            </w:r>
          </w:p>
        </w:tc>
        <w:tc>
          <w:tcPr>
            <w:tcW w:w="2469" w:type="dxa"/>
          </w:tcPr>
          <w:p w14:paraId="613A3238" w14:textId="77777777" w:rsidR="00A63807" w:rsidRDefault="00000000">
            <w:pPr>
              <w:spacing w:after="40"/>
            </w:pPr>
            <w:r>
              <w:rPr>
                <w:sz w:val="17"/>
              </w:rPr>
              <w:lastRenderedPageBreak/>
              <w:t xml:space="preserve">Sensitive to metric and k; possible </w:t>
            </w:r>
            <w:r>
              <w:rPr>
                <w:sz w:val="17"/>
              </w:rPr>
              <w:lastRenderedPageBreak/>
              <w:t>disconnected components</w:t>
            </w:r>
          </w:p>
        </w:tc>
      </w:tr>
      <w:tr w:rsidR="00A63807" w14:paraId="4B65BCE2" w14:textId="77777777">
        <w:tblPrEx>
          <w:tblCellMar>
            <w:top w:w="0" w:type="dxa"/>
            <w:left w:w="0" w:type="dxa"/>
            <w:bottom w:w="0" w:type="dxa"/>
            <w:right w:w="0" w:type="dxa"/>
          </w:tblCellMar>
        </w:tblPrEx>
        <w:tc>
          <w:tcPr>
            <w:tcW w:w="2469" w:type="dxa"/>
          </w:tcPr>
          <w:p w14:paraId="38213C23" w14:textId="77777777" w:rsidR="00A63807" w:rsidRDefault="00000000">
            <w:pPr>
              <w:spacing w:after="40"/>
            </w:pPr>
            <w:r>
              <w:rPr>
                <w:sz w:val="17"/>
              </w:rPr>
              <w:lastRenderedPageBreak/>
              <w:t>Gaussian similarity</w:t>
            </w:r>
          </w:p>
        </w:tc>
        <w:tc>
          <w:tcPr>
            <w:tcW w:w="2469" w:type="dxa"/>
          </w:tcPr>
          <w:p w14:paraId="6E0CEE71" w14:textId="77777777" w:rsidR="00A63807" w:rsidRDefault="00000000">
            <w:pPr>
              <w:spacing w:after="40"/>
            </w:pPr>
            <w:r>
              <w:rPr>
                <w:sz w:val="17"/>
              </w:rPr>
              <w:t>Weights derived from pairwise distance</w:t>
            </w:r>
          </w:p>
        </w:tc>
        <w:tc>
          <w:tcPr>
            <w:tcW w:w="2469" w:type="dxa"/>
          </w:tcPr>
          <w:p w14:paraId="01245C31" w14:textId="77777777" w:rsidR="00A63807" w:rsidRDefault="00000000">
            <w:pPr>
              <w:spacing w:after="40"/>
            </w:pPr>
            <w:r>
              <w:rPr>
                <w:sz w:val="17"/>
              </w:rPr>
              <w:t>Graded relationship strength</w:t>
            </w:r>
          </w:p>
        </w:tc>
        <w:tc>
          <w:tcPr>
            <w:tcW w:w="2469" w:type="dxa"/>
          </w:tcPr>
          <w:p w14:paraId="6AF17015" w14:textId="77777777" w:rsidR="00A63807" w:rsidRDefault="00000000">
            <w:pPr>
              <w:spacing w:after="40"/>
            </w:pPr>
            <w:r>
              <w:rPr>
                <w:sz w:val="17"/>
              </w:rPr>
              <w:t>Bandwidth and scaling affect weights</w:t>
            </w:r>
          </w:p>
        </w:tc>
      </w:tr>
      <w:tr w:rsidR="00A63807" w14:paraId="2F30BE0C" w14:textId="77777777">
        <w:tblPrEx>
          <w:tblCellMar>
            <w:top w:w="0" w:type="dxa"/>
            <w:left w:w="0" w:type="dxa"/>
            <w:bottom w:w="0" w:type="dxa"/>
            <w:right w:w="0" w:type="dxa"/>
          </w:tblCellMar>
        </w:tblPrEx>
        <w:tc>
          <w:tcPr>
            <w:tcW w:w="2469" w:type="dxa"/>
          </w:tcPr>
          <w:p w14:paraId="190BF4A8" w14:textId="77777777" w:rsidR="00A63807" w:rsidRDefault="00000000">
            <w:pPr>
              <w:spacing w:after="40"/>
            </w:pPr>
            <w:r>
              <w:rPr>
                <w:sz w:val="17"/>
              </w:rPr>
              <w:t>Fully connected</w:t>
            </w:r>
          </w:p>
        </w:tc>
        <w:tc>
          <w:tcPr>
            <w:tcW w:w="2469" w:type="dxa"/>
          </w:tcPr>
          <w:p w14:paraId="7AB5A09A" w14:textId="77777777" w:rsidR="00A63807" w:rsidRDefault="00000000">
            <w:pPr>
              <w:spacing w:after="40"/>
            </w:pPr>
            <w:r>
              <w:rPr>
                <w:sz w:val="17"/>
              </w:rPr>
              <w:t>Every distinct pair is linked</w:t>
            </w:r>
          </w:p>
        </w:tc>
        <w:tc>
          <w:tcPr>
            <w:tcW w:w="2469" w:type="dxa"/>
          </w:tcPr>
          <w:p w14:paraId="24DF3067" w14:textId="77777777" w:rsidR="00A63807" w:rsidRDefault="00000000">
            <w:pPr>
              <w:spacing w:after="40"/>
            </w:pPr>
            <w:r>
              <w:rPr>
                <w:sz w:val="17"/>
              </w:rPr>
              <w:t>Global context; deterministic topology</w:t>
            </w:r>
          </w:p>
        </w:tc>
        <w:tc>
          <w:tcPr>
            <w:tcW w:w="2469" w:type="dxa"/>
          </w:tcPr>
          <w:p w14:paraId="2150AE05" w14:textId="77777777" w:rsidR="00A63807" w:rsidRDefault="00000000">
            <w:pPr>
              <w:spacing w:after="40"/>
            </w:pPr>
            <w:r>
              <w:rPr>
                <w:sz w:val="17"/>
              </w:rPr>
              <w:t>Dense graph can oversmooth and increases edge count</w:t>
            </w:r>
          </w:p>
        </w:tc>
      </w:tr>
    </w:tbl>
    <w:p w14:paraId="7BF7B017" w14:textId="77777777" w:rsidR="00A63807" w:rsidRDefault="00A63807"/>
    <w:p w14:paraId="682B6B79" w14:textId="77777777" w:rsidR="00A63807" w:rsidRDefault="00000000">
      <w:pPr>
        <w:spacing w:after="100" w:line="259" w:lineRule="auto"/>
      </w:pPr>
      <w:r>
        <w:t>Edge attributes require attention. Some PyG convolution layers accept edge weights directly; others may not use them as intended. If similarity weights are calculated but ignored by the selected layer, the implementation is not operating as a weighted graph in the intended mathematical sense. Use a compatible convolution, incorporate weights explicitly, or document an unweighted-topology ablation.</w:t>
      </w:r>
    </w:p>
    <w:p w14:paraId="64C6EA61" w14:textId="77777777" w:rsidR="00A63807" w:rsidRDefault="00000000">
      <w:pPr>
        <w:spacing w:after="100" w:line="259" w:lineRule="auto"/>
      </w:pPr>
      <w:r>
        <w:t>Figure 3.3 (recommended): show the same 20 nodes in three panels—a sparse kNN graph, a Gaussian weighted graph with thicker edges for stronger similarity, and a fully connected graph. Keep node positions identical across panels for visual comparison.</w:t>
      </w:r>
    </w:p>
    <w:p w14:paraId="3E1A7AE2" w14:textId="77777777" w:rsidR="00A63807" w:rsidRDefault="00000000">
      <w:pPr>
        <w:pStyle w:val="Heading21"/>
        <w:keepNext/>
      </w:pPr>
      <w:r>
        <w:t>3.5 PyTorch Geometric Data Formulation</w:t>
      </w:r>
    </w:p>
    <w:p w14:paraId="18E8FC4E" w14:textId="77777777" w:rsidR="00A63807" w:rsidRDefault="00000000">
      <w:pPr>
        <w:spacing w:after="100" w:line="259" w:lineRule="auto"/>
      </w:pPr>
      <w:r>
        <w:t>PyTorch Geometric represents a graph using a data object containing tensors for node features, connectivity, labels, and optional edge attributes. For N nodes and F features, the main fields are X ∈ ℝ^(N×F), edge_index ∈ ℕ^(2×E), and y ∈ ℤ^N. For this benchmark, N = 20 per scenario and F = 8 when all specified features are present.</w:t>
      </w:r>
    </w:p>
    <w:p w14:paraId="3D240BC3" w14:textId="77777777" w:rsidR="00A63807" w:rsidRDefault="00000000">
      <w:pPr>
        <w:spacing w:after="140"/>
        <w:jc w:val="center"/>
      </w:pPr>
      <w:r>
        <w:rPr>
          <w:rFonts w:ascii="Cambria Math" w:hAnsi="Cambria Math"/>
          <w:i/>
        </w:rPr>
        <w:t>data.x = X ∈ ℝ^(N×F);      data.edge_index ∈ ℕ^(2×E);      data.y ∈ ℤ^N</w:t>
      </w:r>
    </w:p>
    <w:p w14:paraId="2AE3FFFF" w14:textId="77777777" w:rsidR="00A63807" w:rsidRDefault="00000000">
      <w:pPr>
        <w:spacing w:after="100" w:line="259" w:lineRule="auto"/>
      </w:pPr>
      <w:r>
        <w:t>The edge index uses integer node indices local to the graph. Each column [i,j] denotes an edge from source i to destination j under the library’s message-flow convention. Undirected graphs are commonly represented with both directions, although exact requirements depend on the convolution. Edge weights, when used, must align exactly with the edge columns.</w:t>
      </w:r>
    </w:p>
    <w:tbl>
      <w:tblPr>
        <w:tblStyle w:val="TableGrid1"/>
        <w:tblW w:w="0" w:type="auto"/>
        <w:tblInd w:w="0" w:type="dxa"/>
        <w:tblCellMar>
          <w:top w:w="0" w:type="dxa"/>
          <w:left w:w="0" w:type="dxa"/>
          <w:bottom w:w="0" w:type="dxa"/>
          <w:right w:w="0" w:type="dxa"/>
        </w:tblCellMar>
        <w:tblLook w:val="04A0" w:firstRow="1" w:lastRow="0" w:firstColumn="1" w:lastColumn="0" w:noHBand="0" w:noVBand="1"/>
      </w:tblPr>
      <w:tblGrid>
        <w:gridCol w:w="3292"/>
        <w:gridCol w:w="3293"/>
        <w:gridCol w:w="3293"/>
      </w:tblGrid>
      <w:tr w:rsidR="00A63807" w14:paraId="281D34AC" w14:textId="77777777">
        <w:tblPrEx>
          <w:tblCellMar>
            <w:top w:w="0" w:type="dxa"/>
            <w:left w:w="0" w:type="dxa"/>
            <w:bottom w:w="0" w:type="dxa"/>
            <w:right w:w="0" w:type="dxa"/>
          </w:tblCellMar>
        </w:tblPrEx>
        <w:tc>
          <w:tcPr>
            <w:tcW w:w="3293" w:type="dxa"/>
            <w:shd w:val="clear" w:color="auto" w:fill="D9EAF7"/>
          </w:tcPr>
          <w:p w14:paraId="07E0B068" w14:textId="77777777" w:rsidR="00A63807" w:rsidRDefault="00000000">
            <w:r>
              <w:rPr>
                <w:b/>
                <w:sz w:val="18"/>
              </w:rPr>
              <w:t>Field</w:t>
            </w:r>
          </w:p>
        </w:tc>
        <w:tc>
          <w:tcPr>
            <w:tcW w:w="3293" w:type="dxa"/>
            <w:shd w:val="clear" w:color="auto" w:fill="D9EAF7"/>
          </w:tcPr>
          <w:p w14:paraId="51DC464B" w14:textId="77777777" w:rsidR="00A63807" w:rsidRDefault="00000000">
            <w:r>
              <w:rPr>
                <w:b/>
                <w:sz w:val="18"/>
              </w:rPr>
              <w:t>Shape / type</w:t>
            </w:r>
          </w:p>
        </w:tc>
        <w:tc>
          <w:tcPr>
            <w:tcW w:w="3293" w:type="dxa"/>
            <w:shd w:val="clear" w:color="auto" w:fill="D9EAF7"/>
          </w:tcPr>
          <w:p w14:paraId="0A819426" w14:textId="77777777" w:rsidR="00A63807" w:rsidRDefault="00000000">
            <w:r>
              <w:rPr>
                <w:b/>
                <w:sz w:val="18"/>
              </w:rPr>
              <w:t>Purpose and checks</w:t>
            </w:r>
          </w:p>
        </w:tc>
      </w:tr>
      <w:tr w:rsidR="00A63807" w14:paraId="183EDA92" w14:textId="77777777">
        <w:tblPrEx>
          <w:tblCellMar>
            <w:top w:w="0" w:type="dxa"/>
            <w:left w:w="0" w:type="dxa"/>
            <w:bottom w:w="0" w:type="dxa"/>
            <w:right w:w="0" w:type="dxa"/>
          </w:tblCellMar>
        </w:tblPrEx>
        <w:tc>
          <w:tcPr>
            <w:tcW w:w="3293" w:type="dxa"/>
          </w:tcPr>
          <w:p w14:paraId="037A6D2D" w14:textId="77777777" w:rsidR="00A63807" w:rsidRDefault="00000000">
            <w:pPr>
              <w:spacing w:after="40"/>
            </w:pPr>
            <w:r>
              <w:rPr>
                <w:sz w:val="17"/>
              </w:rPr>
              <w:t>x</w:t>
            </w:r>
          </w:p>
        </w:tc>
        <w:tc>
          <w:tcPr>
            <w:tcW w:w="3293" w:type="dxa"/>
          </w:tcPr>
          <w:p w14:paraId="0ABAFDCA" w14:textId="77777777" w:rsidR="00A63807" w:rsidRDefault="00000000">
            <w:pPr>
              <w:spacing w:after="40"/>
            </w:pPr>
            <w:r>
              <w:rPr>
                <w:sz w:val="17"/>
              </w:rPr>
              <w:t>[N,F] floating tensor</w:t>
            </w:r>
          </w:p>
        </w:tc>
        <w:tc>
          <w:tcPr>
            <w:tcW w:w="3293" w:type="dxa"/>
          </w:tcPr>
          <w:p w14:paraId="42A6E8D4" w14:textId="77777777" w:rsidR="00A63807" w:rsidRDefault="00000000">
            <w:pPr>
              <w:spacing w:after="40"/>
            </w:pPr>
            <w:r>
              <w:rPr>
                <w:sz w:val="17"/>
              </w:rPr>
              <w:t>Node features; finite values and fixed column order</w:t>
            </w:r>
          </w:p>
        </w:tc>
      </w:tr>
      <w:tr w:rsidR="00A63807" w14:paraId="4C66EBFA" w14:textId="77777777">
        <w:tblPrEx>
          <w:tblCellMar>
            <w:top w:w="0" w:type="dxa"/>
            <w:left w:w="0" w:type="dxa"/>
            <w:bottom w:w="0" w:type="dxa"/>
            <w:right w:w="0" w:type="dxa"/>
          </w:tblCellMar>
        </w:tblPrEx>
        <w:tc>
          <w:tcPr>
            <w:tcW w:w="3293" w:type="dxa"/>
          </w:tcPr>
          <w:p w14:paraId="3E53C671" w14:textId="77777777" w:rsidR="00A63807" w:rsidRDefault="00000000">
            <w:pPr>
              <w:spacing w:after="40"/>
            </w:pPr>
            <w:r>
              <w:rPr>
                <w:sz w:val="17"/>
              </w:rPr>
              <w:t>edge_index</w:t>
            </w:r>
          </w:p>
        </w:tc>
        <w:tc>
          <w:tcPr>
            <w:tcW w:w="3293" w:type="dxa"/>
          </w:tcPr>
          <w:p w14:paraId="2EF0A7C1" w14:textId="77777777" w:rsidR="00A63807" w:rsidRDefault="00000000">
            <w:pPr>
              <w:spacing w:after="40"/>
            </w:pPr>
            <w:r>
              <w:rPr>
                <w:sz w:val="17"/>
              </w:rPr>
              <w:t>[2,E] integer tensor</w:t>
            </w:r>
          </w:p>
        </w:tc>
        <w:tc>
          <w:tcPr>
            <w:tcW w:w="3293" w:type="dxa"/>
          </w:tcPr>
          <w:p w14:paraId="6160749F" w14:textId="77777777" w:rsidR="00A63807" w:rsidRDefault="00000000">
            <w:pPr>
              <w:spacing w:after="40"/>
            </w:pPr>
            <w:r>
              <w:rPr>
                <w:sz w:val="17"/>
              </w:rPr>
              <w:t>Source/destination pairs; indices in [0,N−1]</w:t>
            </w:r>
          </w:p>
        </w:tc>
      </w:tr>
      <w:tr w:rsidR="00A63807" w14:paraId="6C02854F" w14:textId="77777777">
        <w:tblPrEx>
          <w:tblCellMar>
            <w:top w:w="0" w:type="dxa"/>
            <w:left w:w="0" w:type="dxa"/>
            <w:bottom w:w="0" w:type="dxa"/>
            <w:right w:w="0" w:type="dxa"/>
          </w:tblCellMar>
        </w:tblPrEx>
        <w:tc>
          <w:tcPr>
            <w:tcW w:w="3293" w:type="dxa"/>
          </w:tcPr>
          <w:p w14:paraId="2377A519" w14:textId="77777777" w:rsidR="00A63807" w:rsidRDefault="00000000">
            <w:pPr>
              <w:spacing w:after="40"/>
            </w:pPr>
            <w:r>
              <w:rPr>
                <w:sz w:val="17"/>
              </w:rPr>
              <w:t>edge_weight</w:t>
            </w:r>
          </w:p>
        </w:tc>
        <w:tc>
          <w:tcPr>
            <w:tcW w:w="3293" w:type="dxa"/>
          </w:tcPr>
          <w:p w14:paraId="40056A4D" w14:textId="77777777" w:rsidR="00A63807" w:rsidRDefault="00000000">
            <w:pPr>
              <w:spacing w:after="40"/>
            </w:pPr>
            <w:r>
              <w:rPr>
                <w:sz w:val="17"/>
              </w:rPr>
              <w:t>[E] floating tensor, optional</w:t>
            </w:r>
          </w:p>
        </w:tc>
        <w:tc>
          <w:tcPr>
            <w:tcW w:w="3293" w:type="dxa"/>
          </w:tcPr>
          <w:p w14:paraId="2ACBEAFC" w14:textId="77777777" w:rsidR="00A63807" w:rsidRDefault="00000000">
            <w:pPr>
              <w:spacing w:after="40"/>
            </w:pPr>
            <w:r>
              <w:rPr>
                <w:sz w:val="17"/>
              </w:rPr>
              <w:t>Similarity weights aligned with edge_index</w:t>
            </w:r>
          </w:p>
        </w:tc>
      </w:tr>
      <w:tr w:rsidR="00A63807" w14:paraId="1C6152E5" w14:textId="77777777">
        <w:tblPrEx>
          <w:tblCellMar>
            <w:top w:w="0" w:type="dxa"/>
            <w:left w:w="0" w:type="dxa"/>
            <w:bottom w:w="0" w:type="dxa"/>
            <w:right w:w="0" w:type="dxa"/>
          </w:tblCellMar>
        </w:tblPrEx>
        <w:tc>
          <w:tcPr>
            <w:tcW w:w="3293" w:type="dxa"/>
          </w:tcPr>
          <w:p w14:paraId="37C117A5" w14:textId="77777777" w:rsidR="00A63807" w:rsidRDefault="00000000">
            <w:pPr>
              <w:spacing w:after="40"/>
            </w:pPr>
            <w:r>
              <w:rPr>
                <w:sz w:val="17"/>
              </w:rPr>
              <w:t>y</w:t>
            </w:r>
          </w:p>
        </w:tc>
        <w:tc>
          <w:tcPr>
            <w:tcW w:w="3293" w:type="dxa"/>
          </w:tcPr>
          <w:p w14:paraId="05B4D6CF" w14:textId="77777777" w:rsidR="00A63807" w:rsidRDefault="00000000">
            <w:pPr>
              <w:spacing w:after="40"/>
            </w:pPr>
            <w:r>
              <w:rPr>
                <w:sz w:val="17"/>
              </w:rPr>
              <w:t>[N] integer tensor</w:t>
            </w:r>
          </w:p>
        </w:tc>
        <w:tc>
          <w:tcPr>
            <w:tcW w:w="3293" w:type="dxa"/>
          </w:tcPr>
          <w:p w14:paraId="05A169B7" w14:textId="77777777" w:rsidR="00A63807" w:rsidRDefault="00000000">
            <w:pPr>
              <w:spacing w:after="40"/>
            </w:pPr>
            <w:r>
              <w:rPr>
                <w:sz w:val="17"/>
              </w:rPr>
              <w:t>Reference labels; −1 means unlabeled</w:t>
            </w:r>
          </w:p>
        </w:tc>
      </w:tr>
      <w:tr w:rsidR="00A63807" w14:paraId="5078A85A" w14:textId="77777777">
        <w:tblPrEx>
          <w:tblCellMar>
            <w:top w:w="0" w:type="dxa"/>
            <w:left w:w="0" w:type="dxa"/>
            <w:bottom w:w="0" w:type="dxa"/>
            <w:right w:w="0" w:type="dxa"/>
          </w:tblCellMar>
        </w:tblPrEx>
        <w:tc>
          <w:tcPr>
            <w:tcW w:w="3293" w:type="dxa"/>
          </w:tcPr>
          <w:p w14:paraId="5CB5E49F" w14:textId="77777777" w:rsidR="00A63807" w:rsidRDefault="00000000">
            <w:pPr>
              <w:spacing w:after="40"/>
            </w:pPr>
            <w:r>
              <w:rPr>
                <w:sz w:val="17"/>
              </w:rPr>
              <w:t>train_mask</w:t>
            </w:r>
          </w:p>
        </w:tc>
        <w:tc>
          <w:tcPr>
            <w:tcW w:w="3293" w:type="dxa"/>
          </w:tcPr>
          <w:p w14:paraId="491081E6" w14:textId="77777777" w:rsidR="00A63807" w:rsidRDefault="00000000">
            <w:pPr>
              <w:spacing w:after="40"/>
            </w:pPr>
            <w:r>
              <w:rPr>
                <w:sz w:val="17"/>
              </w:rPr>
              <w:t>[N] Boolean, optional</w:t>
            </w:r>
          </w:p>
        </w:tc>
        <w:tc>
          <w:tcPr>
            <w:tcW w:w="3293" w:type="dxa"/>
          </w:tcPr>
          <w:p w14:paraId="1954421A" w14:textId="77777777" w:rsidR="00A63807" w:rsidRDefault="00000000">
            <w:pPr>
              <w:spacing w:after="40"/>
            </w:pPr>
            <w:r>
              <w:rPr>
                <w:sz w:val="17"/>
              </w:rPr>
              <w:t>Labeled training nodes included in supervised loss</w:t>
            </w:r>
          </w:p>
        </w:tc>
      </w:tr>
      <w:tr w:rsidR="00A63807" w14:paraId="3111D10E" w14:textId="77777777">
        <w:tblPrEx>
          <w:tblCellMar>
            <w:top w:w="0" w:type="dxa"/>
            <w:left w:w="0" w:type="dxa"/>
            <w:bottom w:w="0" w:type="dxa"/>
            <w:right w:w="0" w:type="dxa"/>
          </w:tblCellMar>
        </w:tblPrEx>
        <w:tc>
          <w:tcPr>
            <w:tcW w:w="3293" w:type="dxa"/>
          </w:tcPr>
          <w:p w14:paraId="3FDF546B" w14:textId="77777777" w:rsidR="00A63807" w:rsidRDefault="00000000">
            <w:pPr>
              <w:spacing w:after="40"/>
            </w:pPr>
            <w:r>
              <w:rPr>
                <w:sz w:val="17"/>
              </w:rPr>
              <w:t>val_mask / test_mask</w:t>
            </w:r>
          </w:p>
        </w:tc>
        <w:tc>
          <w:tcPr>
            <w:tcW w:w="3293" w:type="dxa"/>
          </w:tcPr>
          <w:p w14:paraId="75B670E6" w14:textId="77777777" w:rsidR="00A63807" w:rsidRDefault="00000000">
            <w:pPr>
              <w:spacing w:after="40"/>
            </w:pPr>
            <w:r>
              <w:rPr>
                <w:sz w:val="17"/>
              </w:rPr>
              <w:t>[N] Boolean or external split</w:t>
            </w:r>
          </w:p>
        </w:tc>
        <w:tc>
          <w:tcPr>
            <w:tcW w:w="3293" w:type="dxa"/>
          </w:tcPr>
          <w:p w14:paraId="73161433" w14:textId="77777777" w:rsidR="00A63807" w:rsidRDefault="00000000">
            <w:pPr>
              <w:spacing w:after="40"/>
            </w:pPr>
            <w:r>
              <w:rPr>
                <w:sz w:val="17"/>
              </w:rPr>
              <w:t>Evaluation membership; test labels never train</w:t>
            </w:r>
          </w:p>
        </w:tc>
      </w:tr>
      <w:tr w:rsidR="00A63807" w14:paraId="363903F8" w14:textId="77777777">
        <w:tblPrEx>
          <w:tblCellMar>
            <w:top w:w="0" w:type="dxa"/>
            <w:left w:w="0" w:type="dxa"/>
            <w:bottom w:w="0" w:type="dxa"/>
            <w:right w:w="0" w:type="dxa"/>
          </w:tblCellMar>
        </w:tblPrEx>
        <w:tc>
          <w:tcPr>
            <w:tcW w:w="3293" w:type="dxa"/>
          </w:tcPr>
          <w:p w14:paraId="138DC88D" w14:textId="77777777" w:rsidR="00A63807" w:rsidRDefault="00000000">
            <w:pPr>
              <w:spacing w:after="40"/>
            </w:pPr>
            <w:r>
              <w:rPr>
                <w:sz w:val="17"/>
              </w:rPr>
              <w:t>uncertainty</w:t>
            </w:r>
          </w:p>
        </w:tc>
        <w:tc>
          <w:tcPr>
            <w:tcW w:w="3293" w:type="dxa"/>
          </w:tcPr>
          <w:p w14:paraId="4153811F" w14:textId="77777777" w:rsidR="00A63807" w:rsidRDefault="00000000">
            <w:pPr>
              <w:spacing w:after="40"/>
            </w:pPr>
            <w:r>
              <w:rPr>
                <w:sz w:val="17"/>
              </w:rPr>
              <w:t>[N] floating tensor or feature column</w:t>
            </w:r>
          </w:p>
        </w:tc>
        <w:tc>
          <w:tcPr>
            <w:tcW w:w="3293" w:type="dxa"/>
          </w:tcPr>
          <w:p w14:paraId="3B8D4912" w14:textId="77777777" w:rsidR="00A63807" w:rsidRDefault="00000000">
            <w:pPr>
              <w:spacing w:after="40"/>
            </w:pPr>
            <w:r>
              <w:rPr>
                <w:sz w:val="17"/>
              </w:rPr>
              <w:t>Raw uncertainty for gate and diagnostics</w:t>
            </w:r>
          </w:p>
        </w:tc>
      </w:tr>
      <w:tr w:rsidR="00A63807" w14:paraId="2D12EED7" w14:textId="77777777">
        <w:tblPrEx>
          <w:tblCellMar>
            <w:top w:w="0" w:type="dxa"/>
            <w:left w:w="0" w:type="dxa"/>
            <w:bottom w:w="0" w:type="dxa"/>
            <w:right w:w="0" w:type="dxa"/>
          </w:tblCellMar>
        </w:tblPrEx>
        <w:tc>
          <w:tcPr>
            <w:tcW w:w="3293" w:type="dxa"/>
          </w:tcPr>
          <w:p w14:paraId="4459FF0F" w14:textId="77777777" w:rsidR="00A63807" w:rsidRDefault="00000000">
            <w:pPr>
              <w:spacing w:after="40"/>
            </w:pPr>
            <w:r>
              <w:rPr>
                <w:sz w:val="17"/>
              </w:rPr>
              <w:t>user_id / scenario_id</w:t>
            </w:r>
          </w:p>
        </w:tc>
        <w:tc>
          <w:tcPr>
            <w:tcW w:w="3293" w:type="dxa"/>
          </w:tcPr>
          <w:p w14:paraId="4B9AC49B" w14:textId="77777777" w:rsidR="00A63807" w:rsidRDefault="00000000">
            <w:pPr>
              <w:spacing w:after="40"/>
            </w:pPr>
            <w:r>
              <w:rPr>
                <w:sz w:val="17"/>
              </w:rPr>
              <w:t>Metadata</w:t>
            </w:r>
          </w:p>
        </w:tc>
        <w:tc>
          <w:tcPr>
            <w:tcW w:w="3293" w:type="dxa"/>
          </w:tcPr>
          <w:p w14:paraId="0B754634" w14:textId="77777777" w:rsidR="00A63807" w:rsidRDefault="00000000">
            <w:pPr>
              <w:spacing w:after="40"/>
            </w:pPr>
            <w:r>
              <w:rPr>
                <w:sz w:val="17"/>
              </w:rPr>
              <w:t>Stable mapping to exported records</w:t>
            </w:r>
          </w:p>
        </w:tc>
      </w:tr>
    </w:tbl>
    <w:p w14:paraId="4A617F8D" w14:textId="77777777" w:rsidR="00A63807" w:rsidRDefault="00A63807"/>
    <w:p w14:paraId="19672F13" w14:textId="77777777" w:rsidR="00A63807" w:rsidRDefault="00000000">
      <w:pPr>
        <w:spacing w:after="100" w:line="259" w:lineRule="auto"/>
      </w:pPr>
      <w:r>
        <w:t>The uncertainty gate should use the raw uncertainty vector or a consistently transformed threshold. The label sentinel and masks serve different purposes: yᵢ = −1 means no supervised target, while a mask specifies which nodes participate in an operation. Not every unlabeled node is eligible for pseudo-labeling; it must also pass the confidence and uncertainty tests.</w:t>
      </w:r>
    </w:p>
    <w:p w14:paraId="2685A021" w14:textId="77777777" w:rsidR="00A63807" w:rsidRDefault="00000000">
      <w:pPr>
        <w:spacing w:after="100" w:line="259" w:lineRule="auto"/>
      </w:pPr>
      <w:r>
        <w:t>Graph batching can combine multiple graphs by offsetting node indices and maintaining a batch vector. For scenario-specific topology, batching is efficient, but metadata must remain aligned with batched tensor ordering. Exported CSV rows should be generated from the same node-order mapping used to create the graph, not from assumptions about graph traversal order.</w:t>
      </w:r>
    </w:p>
    <w:p w14:paraId="6F5CDC9D" w14:textId="77777777" w:rsidR="00A63807" w:rsidRDefault="00000000">
      <w:pPr>
        <w:spacing w:after="100" w:line="259" w:lineRule="auto"/>
      </w:pPr>
      <w:r>
        <w:t>The three-layer GNN produces H⁽³⁾ ∈ ℝ^(N×D), logits Z ∈ ℝ^(N×C), and probabilities P ∈ [0,1]^(N×C). Group prediction is computed row-wise with argmax. Retaining the full probability vector supports confidence diagnostics, uncertainty analysis, and reproducible export.</w:t>
      </w:r>
    </w:p>
    <w:p w14:paraId="58886FF0" w14:textId="77777777" w:rsidR="00A63807" w:rsidRDefault="00000000">
      <w:pPr>
        <w:spacing w:after="140"/>
        <w:jc w:val="center"/>
      </w:pPr>
      <w:r>
        <w:rPr>
          <w:rFonts w:ascii="Cambria Math" w:hAnsi="Cambria Math"/>
          <w:i/>
        </w:rPr>
        <w:lastRenderedPageBreak/>
        <w:t>H⁽³⁾ = GNN(X, edge_index, edge_weight);      P = Softmax(H⁽³⁾W_c + b_c)</w:t>
      </w:r>
    </w:p>
    <w:p w14:paraId="053B429A" w14:textId="77777777" w:rsidR="00A63807" w:rsidRDefault="00000000">
      <w:pPr>
        <w:spacing w:after="100" w:line="259" w:lineRule="auto"/>
      </w:pPr>
      <w:r>
        <w:t>Recommended data-engineering tests include: (i) all tensors have expected shapes; (ii) every node has one stable user ID; (iii) all edge indices are in range; (iv) no NaN or infinite values remain after preprocessing; (v) labels use a documented mapping; (vi) the uncertainty gate is tested at confidence exactly 0.90 and uncertainty exactly τᵤ; and (vii) exports preserve one row per evaluated user.</w:t>
      </w:r>
    </w:p>
    <w:p w14:paraId="4D76BD73" w14:textId="77777777" w:rsidR="00A63807" w:rsidRDefault="00000000">
      <w:pPr>
        <w:pStyle w:val="Heading21"/>
        <w:keepNext/>
      </w:pPr>
      <w:r>
        <w:t>Chapter 3 Summary</w:t>
      </w:r>
    </w:p>
    <w:p w14:paraId="5F4EC4C2" w14:textId="77777777" w:rsidR="00A63807" w:rsidRDefault="00000000">
      <w:pPr>
        <w:spacing w:after="100" w:line="259" w:lineRule="auto"/>
      </w:pPr>
      <w:r>
        <w:t>The architecture converts user features into scenario graphs, trains a GNN under a composite semi-supervised objective, and exports aligned predictions and diagnostics. Critical controls include stable identifiers, explicit feature definitions, training-only scaling, scenario-level partitioning, consistent graph construction, and careful handling of uncertainty in both model input and pseudo-label gating. Chapters 4–6 will detail the loss functions and training algorithm, experimental configuration, and analysis of the supplied empirical results.</w:t>
      </w:r>
    </w:p>
    <w:p w14:paraId="6BDF3A77" w14:textId="77777777" w:rsidR="00A63807" w:rsidRDefault="00000000">
      <w:r>
        <w:br w:type="page"/>
      </w:r>
    </w:p>
    <w:p w14:paraId="6DD2C7F6" w14:textId="77777777" w:rsidR="00A63807" w:rsidRDefault="00000000">
      <w:pPr>
        <w:pStyle w:val="Heading11"/>
        <w:keepNext/>
      </w:pPr>
      <w:r>
        <w:lastRenderedPageBreak/>
        <w:t>END OF STAGED PART 1</w:t>
      </w:r>
    </w:p>
    <w:p w14:paraId="4A4E1563" w14:textId="77777777" w:rsidR="00A63807" w:rsidRDefault="00000000">
      <w:pPr>
        <w:spacing w:after="100" w:line="259" w:lineRule="auto"/>
      </w:pPr>
      <w:r>
        <w:t>This document currently contains the front matter and Chapters 1–3, as requested. Type CONTINUE to generate Chapters 4–6, including composite loss derivations, training pseudocode, experimental protocol, and detailed analysis of the supplied performance results. Chapters 7–8 and IEEE-style references will follow in the next stage.</w:t>
      </w:r>
    </w:p>
    <w:sectPr w:rsidR="00A63807" w:rsidSect="008633ED">
      <w:pgSz w:w="12240" w:h="15840"/>
      <w:pgMar w:top="1037" w:right="1181" w:bottom="1037" w:left="118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9F49F" w14:textId="77777777" w:rsidR="008C0AD5" w:rsidRDefault="008C0AD5">
      <w:pPr>
        <w:spacing w:after="0" w:line="240" w:lineRule="auto"/>
      </w:pPr>
      <w:r>
        <w:separator/>
      </w:r>
    </w:p>
  </w:endnote>
  <w:endnote w:type="continuationSeparator" w:id="0">
    <w:p w14:paraId="5B5EE8BF" w14:textId="77777777" w:rsidR="008C0AD5" w:rsidRDefault="008C0A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74F9F" w14:textId="77777777" w:rsidR="00A63807" w:rsidRDefault="00000000">
    <w:pPr>
      <w:jc w:val="center"/>
    </w:pPr>
    <w:r>
      <w:t xml:space="preserve">Uncertainty-Aware GNN for Dynamic NOMA User Grouping  |  </w:t>
    </w:r>
    <w:r>
      <w:fldChar w:fldCharType="begin"/>
    </w:r>
    <w:r>
      <w:instrText xml:space="preserve"> PAGE </w:instrText>
    </w:r>
    <w:r w:rsidR="00B35B3C">
      <w:fldChar w:fldCharType="separate"/>
    </w:r>
    <w:r w:rsidR="00B35B3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FD7EE" w14:textId="77777777" w:rsidR="008C0AD5" w:rsidRDefault="008C0AD5">
      <w:pPr>
        <w:spacing w:after="0" w:line="240" w:lineRule="auto"/>
      </w:pPr>
      <w:r>
        <w:separator/>
      </w:r>
    </w:p>
  </w:footnote>
  <w:footnote w:type="continuationSeparator" w:id="0">
    <w:p w14:paraId="3350BE44" w14:textId="77777777" w:rsidR="008C0AD5" w:rsidRDefault="008C0A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1642F"/>
    <w:multiLevelType w:val="hybridMultilevel"/>
    <w:tmpl w:val="0A1AC33E"/>
    <w:lvl w:ilvl="0" w:tplc="93C688A0">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15:restartNumberingAfterBreak="0">
    <w:nsid w:val="3B30500D"/>
    <w:multiLevelType w:val="hybridMultilevel"/>
    <w:tmpl w:val="FDE4D36A"/>
    <w:lvl w:ilvl="0" w:tplc="4009000F">
      <w:start w:val="1"/>
      <w:numFmt w:val="decimal"/>
      <w:lvlText w:val="%1."/>
      <w:lvlJc w:val="lef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32C3AEB"/>
    <w:multiLevelType w:val="hybridMultilevel"/>
    <w:tmpl w:val="661A59E6"/>
    <w:lvl w:ilvl="0" w:tplc="4796B14C">
      <w:start w:val="1"/>
      <w:numFmt w:val="decimal"/>
      <w:lvlText w:val="%1."/>
      <w:lvlJc w:val="left"/>
      <w:pPr>
        <w:ind w:left="409" w:hanging="360"/>
      </w:pPr>
      <w:rPr>
        <w:rFonts w:hint="default"/>
      </w:rPr>
    </w:lvl>
    <w:lvl w:ilvl="1" w:tplc="40090019" w:tentative="1">
      <w:start w:val="1"/>
      <w:numFmt w:val="lowerLetter"/>
      <w:lvlText w:val="%2."/>
      <w:lvlJc w:val="left"/>
      <w:pPr>
        <w:ind w:left="1129" w:hanging="360"/>
      </w:pPr>
    </w:lvl>
    <w:lvl w:ilvl="2" w:tplc="4009001B" w:tentative="1">
      <w:start w:val="1"/>
      <w:numFmt w:val="lowerRoman"/>
      <w:lvlText w:val="%3."/>
      <w:lvlJc w:val="right"/>
      <w:pPr>
        <w:ind w:left="1849" w:hanging="180"/>
      </w:pPr>
    </w:lvl>
    <w:lvl w:ilvl="3" w:tplc="4009000F" w:tentative="1">
      <w:start w:val="1"/>
      <w:numFmt w:val="decimal"/>
      <w:lvlText w:val="%4."/>
      <w:lvlJc w:val="left"/>
      <w:pPr>
        <w:ind w:left="2569" w:hanging="360"/>
      </w:pPr>
    </w:lvl>
    <w:lvl w:ilvl="4" w:tplc="40090019" w:tentative="1">
      <w:start w:val="1"/>
      <w:numFmt w:val="lowerLetter"/>
      <w:lvlText w:val="%5."/>
      <w:lvlJc w:val="left"/>
      <w:pPr>
        <w:ind w:left="3289" w:hanging="360"/>
      </w:pPr>
    </w:lvl>
    <w:lvl w:ilvl="5" w:tplc="4009001B" w:tentative="1">
      <w:start w:val="1"/>
      <w:numFmt w:val="lowerRoman"/>
      <w:lvlText w:val="%6."/>
      <w:lvlJc w:val="right"/>
      <w:pPr>
        <w:ind w:left="4009" w:hanging="180"/>
      </w:pPr>
    </w:lvl>
    <w:lvl w:ilvl="6" w:tplc="4009000F" w:tentative="1">
      <w:start w:val="1"/>
      <w:numFmt w:val="decimal"/>
      <w:lvlText w:val="%7."/>
      <w:lvlJc w:val="left"/>
      <w:pPr>
        <w:ind w:left="4729" w:hanging="360"/>
      </w:pPr>
    </w:lvl>
    <w:lvl w:ilvl="7" w:tplc="40090019" w:tentative="1">
      <w:start w:val="1"/>
      <w:numFmt w:val="lowerLetter"/>
      <w:lvlText w:val="%8."/>
      <w:lvlJc w:val="left"/>
      <w:pPr>
        <w:ind w:left="5449" w:hanging="360"/>
      </w:pPr>
    </w:lvl>
    <w:lvl w:ilvl="8" w:tplc="4009001B" w:tentative="1">
      <w:start w:val="1"/>
      <w:numFmt w:val="lowerRoman"/>
      <w:lvlText w:val="%9."/>
      <w:lvlJc w:val="right"/>
      <w:pPr>
        <w:ind w:left="6169" w:hanging="180"/>
      </w:pPr>
    </w:lvl>
  </w:abstractNum>
  <w:num w:numId="1" w16cid:durableId="1086272462">
    <w:abstractNumId w:val="2"/>
  </w:num>
  <w:num w:numId="2" w16cid:durableId="343214765">
    <w:abstractNumId w:val="1"/>
  </w:num>
  <w:num w:numId="3" w16cid:durableId="1342590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2424B"/>
    <w:rsid w:val="000B43AD"/>
    <w:rsid w:val="002A5082"/>
    <w:rsid w:val="003A2B4A"/>
    <w:rsid w:val="003A3929"/>
    <w:rsid w:val="003F3E67"/>
    <w:rsid w:val="00431AC0"/>
    <w:rsid w:val="00445574"/>
    <w:rsid w:val="00501FD9"/>
    <w:rsid w:val="0065081C"/>
    <w:rsid w:val="0071708C"/>
    <w:rsid w:val="007C2563"/>
    <w:rsid w:val="008633ED"/>
    <w:rsid w:val="008C0AD5"/>
    <w:rsid w:val="00972E04"/>
    <w:rsid w:val="00A63807"/>
    <w:rsid w:val="00B35B3C"/>
    <w:rsid w:val="00CA32B6"/>
    <w:rsid w:val="00F2424B"/>
    <w:rsid w:val="00F50F4B"/>
    <w:rsid w:val="00F93B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4E3EB"/>
  <w15:docId w15:val="{0792ACA9-ADB8-4AC0-BB5B-5EE13C47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rPr>
      <w:rFonts w:ascii="Times New Roman" w:hAnsi="Times New Roman"/>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33ED"/>
    <w:pPr>
      <w:ind w:left="720"/>
      <w:contextualSpacing/>
    </w:pPr>
  </w:style>
  <w:style w:type="paragraph" w:customStyle="1" w:styleId="Heading11">
    <w:name w:val="Heading 11"/>
    <w:rPr>
      <w:rFonts w:ascii="Arial" w:hAnsi="Arial"/>
      <w:b/>
      <w:color w:val="1F4E79"/>
      <w:sz w:val="32"/>
    </w:rPr>
  </w:style>
  <w:style w:type="paragraph" w:customStyle="1" w:styleId="Heading21">
    <w:name w:val="Heading 21"/>
    <w:rPr>
      <w:rFonts w:ascii="Arial" w:hAnsi="Arial"/>
      <w:b/>
      <w:color w:val="2F5597"/>
      <w:sz w:val="26"/>
    </w:rPr>
  </w:style>
  <w:style w:type="paragraph" w:customStyle="1" w:styleId="Heading31">
    <w:name w:val="Heading 31"/>
    <w:rPr>
      <w:rFonts w:ascii="Arial" w:hAnsi="Arial"/>
      <w:b/>
      <w:color w:val="7030A0"/>
    </w:rPr>
  </w:style>
  <w:style w:type="paragraph" w:customStyle="1" w:styleId="ListBullet1">
    <w:name w:val="List Bullet1"/>
    <w:rPr>
      <w:rFonts w:ascii="Times New Roman" w:hAnsi="Times New Roman"/>
      <w:color w:val="000000"/>
      <w:sz w:val="21"/>
    </w:rPr>
  </w:style>
  <w:style w:type="paragraph" w:customStyle="1" w:styleId="ListNumber1">
    <w:name w:val="List Number1"/>
    <w:rPr>
      <w:rFonts w:ascii="Times New Roman" w:hAnsi="Times New Roman"/>
      <w:color w:val="000000"/>
      <w:sz w:val="21"/>
    </w:rPr>
  </w:style>
  <w:style w:type="table" w:customStyle="1" w:styleId="TableGrid1">
    <w:name w:val="Table Grid1"/>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19</Pages>
  <Words>6819</Words>
  <Characters>38872</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Uncertainty-Aware GNN for Dynamic NOMA User Grouping — Chapters 1–3</dc:title>
  <dc:subject>Technical Progress Report, staged delivery: front matter and Chapters 1–3</dc:subject>
  <dc:creator>Akshay Boppudi</dc:creator>
  <cp:lastModifiedBy>akshay boppudi</cp:lastModifiedBy>
  <cp:revision>18</cp:revision>
  <dcterms:created xsi:type="dcterms:W3CDTF">2026-08-18T12:23:00Z</dcterms:created>
  <dcterms:modified xsi:type="dcterms:W3CDTF">2026-10-15T03:16:00Z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2026-07-29T00:00:00Z</vt:filetime>
  </property>
  <property fmtid="{D5CDD505-2E9C-101B-9397-08002B2CF9AE}" pid="3" name="LastSaved">
    <vt:filetime>2026-08-18T00:00:00Z</vt:filetime>
  </property>
</Properties>
</file>