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Superstore Sales – Key Business Insights</w:t>
      </w:r>
    </w:p>
    <w:p>
      <w:r>
        <w:t>Technology is the highest revenue generating category and drives overall business performance.</w:t>
      </w:r>
    </w:p>
    <w:p>
      <w:r>
        <w:t>The West region consistently outperforms other regions across all customer segments.</w:t>
      </w:r>
    </w:p>
    <w:p>
      <w:r>
        <w:t>Central region shows comparatively lower profit margins, indicating potential cost or pricing issues.</w:t>
      </w:r>
    </w:p>
    <w:p>
      <w:r>
        <w:t>Consumer segment contributes the largest share of total sales, making it the most valuable customer group.</w:t>
      </w:r>
    </w:p>
    <w:p>
      <w:r>
        <w:t>Orders with negative profit margins suggest aggressive discounting or high operational costs that require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