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Client: Slipstream   |   Project: Data Stream</w:t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Document type: Copay Card / Bridge Program Material — MOCK TEMPLATE (sample, not a real 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color w:val="BFC9D9"/>
                <w:sz w:val="16"/>
                <w:szCs w:val="16"/>
              </w:rPr>
              <w:t xml:space="preserve">[MANUFACTURER / BRAND LOGO]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[BRAND NAME] COPAY ASSISTANCE CARD</w:t>
            </w:r>
          </w:p>
          <w:p>
            <w:pPr>
              <w:spacing w:before="40"/>
              <w:jc w:val="center"/>
            </w:pPr>
            <w:r>
              <w:rPr>
                <w:color w:val="D9E0EA"/>
                <w:sz w:val="19"/>
                <w:szCs w:val="19"/>
              </w:rPr>
              <w:t xml:space="preserve">Pay as little as $5 per month* — for eligible commercially insured patients only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PHARMACY PROCESSING INFORMATION (give this to your pharmacist)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Member ID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CPY847291004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Rx BIN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019283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Rx PCN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COPAYRMT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Number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BRAND99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*TERMS AND CONDITIONS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1. Eligibility: Available to patients with commercial (private) prescription insurance.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2. Exclusions: NOT VALID for patients enrolled in state or federal healthcare programs, including Medicare, Medicaid, Medigap, VA, DoD, or TRICARE. Not valid for cash-paying or uninsured patients.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3. Benefit Limits: Maximum annual benefit is $12,000. Valid for up to 12 fills per calendar year. Offer subject to change or discontinuation without notice.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4. This is not health insurance. Patient may not seek reimbursement for card value from any third-party payer, flexible spending account, or health savings account.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BRIDGE / QUICK-START PROGRAM (if insurance coverage is delayed or denied)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Eligible patients whose prior authorization is pending, or whose coverage determination is delayed beyond [X] days, may receive [BRAND NAME] at no cost for up to [X months / X fills] while coverage is being finalized. Prescriber must submit a Bridge Program Start Form. This is a one-time benefit per patient and ends once payer approval is obtained.</w:t>
      </w:r>
    </w:p>
    <w:p>
      <w:pPr>
        <w:spacing w:after="140"/>
      </w:pPr>
      <w:r>
        <w:rPr>
          <w:color w:val="262626"/>
          <w:sz w:val="19"/>
          <w:szCs w:val="19"/>
        </w:rPr>
        <w:t xml:space="preserve">Bridge Program Start Date: </w:t>
      </w:r>
      <w:r>
        <w:rPr>
          <w:sz w:val="19"/>
          <w:szCs w:val="19"/>
          <w:u w:val="single"/>
        </w:rPr>
        <w:t xml:space="preserve">              </w:t>
      </w:r>
      <w:r>
        <w:rPr>
          <w:sz w:val="19"/>
          <w:szCs w:val="19"/>
        </w:rPr>
        <w:t xml:space="preserve">     </w:t>
      </w:r>
      <w:r>
        <w:rPr>
          <w:color w:val="262626"/>
          <w:sz w:val="19"/>
          <w:szCs w:val="19"/>
        </w:rPr>
        <w:t xml:space="preserve">Anticipated Coverage Decision Date: </w:t>
      </w:r>
      <w:r>
        <w:rPr>
          <w:sz w:val="19"/>
          <w:szCs w:val="19"/>
          <w:u w:val="single"/>
        </w:rPr>
        <w:t xml:space="preserve">              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PATIENT INSTRUCTIONS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Present this card along with your primary insurance card to your pharmacist when filling your prescription for [BRAND NAME].</w:t>
      </w:r>
    </w:p>
    <w:p>
      <w:pPr>
        <w:pBdr>
          <w:left w:val="single" w:color="1F3864" w:sz="18" w:space="6"/>
        </w:pBdr>
        <w:shd w:fill="F2F2F2" w:val="clear"/>
        <w:spacing w:after="120" w:before="260"/>
      </w:pPr>
      <w:r>
        <w:rPr>
          <w:b/>
          <w:bCs/>
          <w:color w:val="1F3864"/>
          <w:sz w:val="21"/>
          <w:szCs w:val="21"/>
        </w:rPr>
        <w:t xml:space="preserve">PHARMACIST INSTRUCTIONS</w:t>
      </w:r>
    </w:p>
    <w:p>
      <w:pPr>
        <w:spacing w:after="140"/>
      </w:pPr>
      <w:r>
        <w:rPr>
          <w:color w:val="262626"/>
          <w:sz w:val="20"/>
          <w:szCs w:val="20"/>
        </w:rPr>
        <w:t xml:space="preserve">Submit the claim to the primary third-party payer first. Then submit as a secondary claim to [Processing Vendor Name] using the Rx BIN/PCN/Group provided above. For processing questions, call 1-800-XXX-XXXX.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SAMPLE TEMPLATE — for internal reference / mock data generation only. Not a real or currently-issued manufacturer offer. Real copay/bridge programs require full, separately-published Terms &amp; Conditions reviewed by Legal and Compliance (anti-kickback and Medicare Part D TrOOP rules apply).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2026-07-09T11:55:45.331Z</dcterms:created>
  <dcterms:modified xsi:type="dcterms:W3CDTF">2026-07-09T11:55:45.331Z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