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A7-APJ / 254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A380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2018-07-20 and 2018-07-22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9"/>
          <w:headerReference w:type="default" r:id="rId10"/>
          <w:footerReference w:type="first" r:id="rId11"/>
          <w:footerReference w:type="default" r:id="rId12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Flight Leg id #4 / QTR7XB     /      -      / 2018-07-21 05:56:12 =&gt; 2018-07-21 13:32:40</w:t>
      </w:r>
    </w:p>
    <w:tbl>
      <w:tblGrid>
        <w:gridCol w:w="4000" w:type="dxa"/>
      </w:tblGrid>
      <w:tr>
        <w:trPr/>
        <w:tc>
          <w:tcPr>
            <w:tcW w:w="4000" w:type="dxa"/>
          </w:tcPr>
          <w:p>
            <w:r>
              <w:rPr>
                <w:rFonts w:ascii="Calibri" w:hAnsi="Calibri" w:eastAsia="Calibri" w:cs="Calibri"/>
                <w:sz w:val="24"/>
                <w:szCs w:val="24"/>
                <w:b/>
              </w:rPr>
              <w:t xml:space="preserve">Flight status estimation: </w:t>
            </w:r>
            <w:r>
              <w:pict>
                <v:shape type="#_x0000_t75" style="width:30px; height:30px; margin-left:-1px; margin-top:-1px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still active or greater than 15 minutes (in cruise mode)</w:t>
      </w:r>
    </w:p>
    <w:tbl>
      <w:tblGrid>
        <w:gridCol w:w="500" w:type="dxa"/>
        <w:gridCol w:w="1200" w:type="dxa"/>
        <w:gridCol w:w="900" w:type="dxa"/>
        <w:gridCol w:w="3300" w:type="dxa"/>
        <w:gridCol w:w="1950" w:type="dxa"/>
        <w:gridCol w:w="1700" w:type="dxa"/>
        <w:gridCol w:w="1000" w:type="dxa"/>
        <w:gridCol w:w="1500" w:type="dxa"/>
        <w:gridCol w:w="1680" w:type="dxa"/>
        <w:gridCol w:w="1400" w:type="dxa"/>
      </w:tblGrid>
      <w:tblPr>
        <w:tblStyle w:val="Details Table"/>
      </w:tblPr>
      <w:tr>
        <w:trPr/>
        <w:tc>
          <w:tcPr>
            <w:tcW w:w="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#</w:t>
            </w:r>
          </w:p>
        </w:tc>
        <w:tc>
          <w:tcPr>
            <w:tcW w:w="12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9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Fault</w:t>
            </w:r>
          </w:p>
        </w:tc>
        <w:tc>
          <w:tcPr>
            <w:tcW w:w="33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</w:t>
            </w:r>
          </w:p>
        </w:tc>
        <w:tc>
          <w:tcPr>
            <w:tcW w:w="19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Reporting Host Name</w:t>
            </w:r>
          </w:p>
        </w:tc>
        <w:tc>
          <w:tcPr>
            <w:tcW w:w="17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Parameters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Detection</w:t>
            </w:r>
          </w:p>
        </w:tc>
        <w:tc>
          <w:tcPr>
            <w:tcW w:w="168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Clearing Time</w:t>
            </w:r>
          </w:p>
        </w:tc>
        <w:tc>
          <w:tcPr>
            <w:tcW w:w="14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200" w:type="dxa"/>
            <w:shd w:val="clear" w:color="" w:fill="C0C0C0"/>
          </w:tcPr>
          <w:p>
            <w:pPr/>
            <w:r>
              <w:rPr/>
              <w:t xml:space="preserve">SVDU45J</w:t>
            </w:r>
          </w:p>
        </w:tc>
        <w:tc>
          <w:tcPr>
            <w:tcW w:w="900" w:type="dxa"/>
            <w:shd w:val="clear" w:color="" w:fill="C0C0C0"/>
          </w:tcPr>
          <w:p>
            <w:pPr/>
            <w:r>
              <w:rPr/>
              <w:t xml:space="preserve">400</w:t>
            </w:r>
          </w:p>
        </w:tc>
        <w:tc>
          <w:tcPr>
            <w:tcW w:w="3300" w:type="dxa"/>
            <w:shd w:val="clear" w:color="" w:fill="C0C0C0"/>
          </w:tcPr>
          <w:p>
            <w:pPr/>
            <w:r>
              <w:rPr/>
              <w:t xml:space="preserve">Lost communications to LRU Host</w:t>
            </w:r>
          </w:p>
        </w:tc>
        <w:tc>
          <w:tcPr>
            <w:tcW w:w="1950" w:type="dxa"/>
            <w:shd w:val="clear" w:color="" w:fill="C0C0C0"/>
          </w:tcPr>
          <w:p>
            <w:pPr/>
            <w:r>
              <w:rPr/>
              <w:t xml:space="preserve">SVDU45H</w:t>
            </w:r>
          </w:p>
        </w:tc>
        <w:tc>
          <w:tcPr>
            <w:tcW w:w="1700" w:type="dxa"/>
            <w:shd w:val="clear" w:color="" w:fill="C0C0C0"/>
          </w:tcPr>
          <w:p>
            <w:pPr/>
            <w:r>
              <w:rPr/>
              <w:t xml:space="preserve">0 / 0 / 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1500" w:type="dxa"/>
            <w:shd w:val="clear" w:color="" w:fill="C0C0C0"/>
          </w:tcPr>
          <w:p>
            <w:pPr/>
            <w:r>
              <w:rPr/>
              <w:t xml:space="preserve">2018-07-21 08:51:51</w:t>
            </w:r>
          </w:p>
        </w:tc>
        <w:tc>
          <w:tcPr>
            <w:tcW w:w="1680" w:type="dxa"/>
            <w:shd w:val="clear" w:color="" w:fill="C0C0C0"/>
          </w:tcPr>
          <w:p/>
        </w:tc>
        <w:tc>
          <w:tcPr>
            <w:tcW w:w="1400" w:type="dxa"/>
            <w:shd w:val="clear" w:color="" w:fill="C0C0C0"/>
          </w:tcPr>
          <w:p/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200" w:type="dxa"/>
          </w:tcPr>
          <w:p>
            <w:pPr/>
            <w:r>
              <w:rPr/>
              <w:t xml:space="preserve">SVDU45J</w:t>
            </w:r>
          </w:p>
        </w:tc>
        <w:tc>
          <w:tcPr>
            <w:tcW w:w="900" w:type="dxa"/>
          </w:tcPr>
          <w:p>
            <w:pPr/>
            <w:r>
              <w:rPr/>
              <w:t xml:space="preserve">400</w:t>
            </w:r>
          </w:p>
        </w:tc>
        <w:tc>
          <w:tcPr>
            <w:tcW w:w="3300" w:type="dxa"/>
          </w:tcPr>
          <w:p>
            <w:pPr/>
            <w:r>
              <w:rPr/>
              <w:t xml:space="preserve">Lost communications to LRU Host</w:t>
            </w:r>
          </w:p>
        </w:tc>
        <w:tc>
          <w:tcPr>
            <w:tcW w:w="1950" w:type="dxa"/>
          </w:tcPr>
          <w:p>
            <w:pPr/>
            <w:r>
              <w:rPr/>
              <w:t xml:space="preserve">SVDU45K</w:t>
            </w:r>
          </w:p>
        </w:tc>
        <w:tc>
          <w:tcPr>
            <w:tcW w:w="1700" w:type="dxa"/>
          </w:tcPr>
          <w:p>
            <w:pPr/>
            <w:r>
              <w:rPr/>
              <w:t xml:space="preserve">0 / 0 / 0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2018-07-21 08:51:51</w:t>
            </w:r>
          </w:p>
        </w:tc>
        <w:tc>
          <w:tcPr>
            <w:tcW w:w="1680" w:type="dxa"/>
          </w:tcPr>
          <w:p/>
        </w:tc>
        <w:tc>
          <w:tcPr>
            <w:tcW w:w="1400" w:type="dxa"/>
          </w:tcPr>
          <w:p/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400- Lost communications to LRU Host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404-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406-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SVDU-G4 failed to mount the SDXC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420231- SDXC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440211- Ethernet link error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42007003- Communication error between the Server and Client still active or greater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Fault 42007003- Communication error between the Server and Client with more than 5 fault less than 15 minutes (in cruise mode)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2018-07-16 00:00:00 to 2018-07-22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2018-07-25T12:41:06-07:00</dcterms:created>
  <dcterms:modified xsi:type="dcterms:W3CDTF">2018-07-25T12:41:06-07:00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