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E80" w:rsidRPr="008D3E80" w:rsidRDefault="008D3E80" w:rsidP="008D3E80">
      <w:pPr>
        <w:shd w:val="clear" w:color="auto" w:fill="FFFFFF"/>
        <w:spacing w:after="86" w:line="240" w:lineRule="auto"/>
        <w:outlineLvl w:val="2"/>
        <w:rPr>
          <w:rFonts w:ascii="Segoe UI" w:eastAsia="Times New Roman" w:hAnsi="Segoe UI" w:cs="Segoe UI"/>
          <w:b/>
          <w:bCs/>
          <w:color w:val="666666"/>
          <w:sz w:val="27"/>
          <w:szCs w:val="27"/>
        </w:rPr>
      </w:pPr>
      <w:r>
        <w:rPr>
          <w:rFonts w:ascii="Segoe UI" w:eastAsia="Times New Roman" w:hAnsi="Segoe UI" w:cs="Segoe UI"/>
          <w:b/>
          <w:bCs/>
          <w:color w:val="666666"/>
          <w:sz w:val="27"/>
          <w:szCs w:val="27"/>
        </w:rPr>
        <w:t>A</w:t>
      </w:r>
      <w:r w:rsidRPr="008D3E80">
        <w:rPr>
          <w:rFonts w:ascii="Segoe UI" w:eastAsia="Times New Roman" w:hAnsi="Segoe UI" w:cs="Segoe UI"/>
          <w:b/>
          <w:bCs/>
          <w:color w:val="666666"/>
          <w:sz w:val="27"/>
          <w:szCs w:val="27"/>
        </w:rPr>
        <w:t>bstract</w:t>
      </w:r>
    </w:p>
    <w:p w:rsidR="008D3E80" w:rsidRDefault="008D3E80" w:rsidP="008D3E80">
      <w:pPr>
        <w:shd w:val="clear" w:color="auto" w:fill="FFFFFF"/>
        <w:spacing w:after="0" w:line="240" w:lineRule="auto"/>
        <w:rPr>
          <w:rFonts w:ascii="Segoe UI" w:eastAsia="Times New Roman" w:hAnsi="Segoe UI" w:cs="Segoe UI"/>
          <w:color w:val="333333"/>
          <w:sz w:val="20"/>
        </w:rPr>
      </w:pPr>
      <w:r w:rsidRPr="008D3E80">
        <w:rPr>
          <w:rFonts w:ascii="Segoe UI" w:eastAsia="Times New Roman" w:hAnsi="Segoe UI" w:cs="Segoe UI"/>
          <w:color w:val="333333"/>
          <w:sz w:val="20"/>
        </w:rPr>
        <w:t>Bankruptcy prediction is an important problem in finance, since successful predictions would allow stakeholders to take early actions to limit their economic losses. In recent years many studies have explored the application of machine learning models to bankruptcy prediction with financial ratios as predictors. This study extends this research by applying machine learning techniques to a quarterly data set covering financial ratios for a large sample of public U.S. firms from 1970–2019. We find that tree-based ensemble methods, especially XGBoost, can achieve a high degree of accuracy in out-of-sample bankruptcy prediction. We next apply our best model, using XGBoost, to the problem of predicting the overall bankruptcy rate in USA in the second half of 2020, after the COVID-19 pandemic had necessitated a lockdown, leading to a deep recession. Our model supports the prediction, made by leading economists, that the rate of bankruptcies will rise substantially in 2020, but it also suggests that this elevated level will not be much higher than 2010.</w:t>
      </w:r>
    </w:p>
    <w:p w:rsidR="008D3E80" w:rsidRDefault="008D3E80" w:rsidP="008D3E80">
      <w:pPr>
        <w:shd w:val="clear" w:color="auto" w:fill="FFFFFF"/>
        <w:spacing w:after="0" w:line="240" w:lineRule="auto"/>
        <w:rPr>
          <w:rFonts w:ascii="Segoe UI" w:eastAsia="Times New Roman" w:hAnsi="Segoe UI" w:cs="Segoe UI"/>
          <w:color w:val="333333"/>
          <w:sz w:val="20"/>
        </w:rPr>
      </w:pPr>
    </w:p>
    <w:p w:rsidR="00AD2C48" w:rsidRPr="00AD2C48" w:rsidRDefault="00AD2C48" w:rsidP="00AD2C48">
      <w:pPr>
        <w:pStyle w:val="Heading3"/>
        <w:pBdr>
          <w:bottom w:val="single" w:sz="4" w:space="5" w:color="D1D1D1"/>
        </w:pBdr>
        <w:shd w:val="clear" w:color="auto" w:fill="FFFFFF"/>
        <w:spacing w:before="86" w:beforeAutospacing="0" w:after="86" w:afterAutospacing="0" w:line="240" w:lineRule="atLeast"/>
        <w:rPr>
          <w:rFonts w:ascii="Segoe UI" w:hAnsi="Segoe UI" w:cs="Segoe UI"/>
          <w:color w:val="666666"/>
          <w:sz w:val="24"/>
          <w:szCs w:val="24"/>
        </w:rPr>
      </w:pPr>
      <w:r w:rsidRPr="00AD2C48">
        <w:rPr>
          <w:rStyle w:val="sec-title"/>
          <w:rFonts w:ascii="Segoe UI" w:hAnsi="Segoe UI" w:cs="Segoe UI"/>
          <w:color w:val="666666"/>
          <w:sz w:val="24"/>
          <w:szCs w:val="24"/>
          <w:shd w:val="clear" w:color="auto" w:fill="FFFFFF"/>
        </w:rPr>
        <w:t>1.   Introduction</w:t>
      </w:r>
    </w:p>
    <w:p w:rsid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Bankruptcy prediction is the problem of detecting financial distress in businesses which will lead to eventual bankruptcy. Bankruptcy prediction has been studied since at least 1930s. The early models of bankruptcy prediction employed univariate statistical models over financial ratios. The univariate models were followed by multi-variate statistical models such as the famous Altman Z-score model. The recent advances in the field of Machine learning have led to the adoption of Machine learning algorithms for bankruptcy prediction. Machine Learning methods are increasingly being used for bankruptcy prediction using financial ratios. A study by Barboza, Kimura and Altman found that Machine Learning models can outperform classical statistical models like multiple discriminant analysis (MDA) by a significant margin in bankruptcy prediction </w:t>
      </w:r>
      <w:r>
        <w:rPr>
          <w:rFonts w:ascii="Segoe UI" w:hAnsi="Segoe UI" w:cs="Segoe UI"/>
          <w:color w:val="333333"/>
          <w:sz w:val="20"/>
          <w:szCs w:val="20"/>
        </w:rPr>
        <w:t>.</w:t>
      </w:r>
    </w:p>
    <w:p w:rsid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p>
    <w:p w:rsidR="00AD2C48" w:rsidRPr="00AD2C48" w:rsidRDefault="00AD2C48" w:rsidP="00AD2C48">
      <w:pPr>
        <w:pStyle w:val="Heading4"/>
        <w:shd w:val="clear" w:color="auto" w:fill="FFFFFF"/>
        <w:spacing w:before="171" w:after="86"/>
        <w:rPr>
          <w:rFonts w:ascii="Segoe UI" w:hAnsi="Segoe UI" w:cs="Segoe UI"/>
          <w:color w:val="666666"/>
          <w:sz w:val="24"/>
          <w:szCs w:val="24"/>
        </w:rPr>
      </w:pPr>
      <w:r w:rsidRPr="00AD2C48">
        <w:rPr>
          <w:rStyle w:val="sec-title"/>
          <w:rFonts w:ascii="Segoe UI" w:hAnsi="Segoe UI" w:cs="Segoe UI"/>
          <w:i w:val="0"/>
          <w:iCs w:val="0"/>
          <w:color w:val="666666"/>
          <w:sz w:val="24"/>
          <w:szCs w:val="24"/>
        </w:rPr>
        <w:t>1.1.   Significance of bankruptcy prediction</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Bankruptcy prediction is an important for modern economies because early warnings of bankrupt help not only the investor but also public policy makers to take proactive steps to minimize the impact of bankruptcies. The reasons that add to the significance of bankruptcy prediction are as follows: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(1). Better allocation of resources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Institutional investors, banks, lenders, retail investors are always looking at information that predicts financial distress in publicly traded firms. Early prediction of bankruptcy helps not only the investors and lenders but also the managers of a firm to take corrective action thereby conserving scare economic resources. Efficient allocation of capital is the cornerstone of growth in modern economies.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(2). Input to policy makers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Accurate prediction of bankruptcies of businesses and individuals before they happen gives law makers and policy makers some additional time to alleviate systemic issues that might be causing the bankruptcies. Indeed, with bankruptcies taking center stage in political discourse of many countries, the accurate prediction of bankruptcy is a key input for politicians, bureaucrats and in general for anyone who is making public policy.</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(3). Corrective action for business managers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The early prediction of bankruptcy is likely to highlight business issues thereby giving the company's manager additional time to make decisions that will help avoid bankruptcy. This effect is likely to be more profound in public companies where the management has a fiduciary duty to the shareholders.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(4). Identification of sector wide problems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Bankruptcy prediction models that flag firms belonging to a certain sector are likely to be a leading indicator of an upcoming downturn in a certain sector of an economy. With robust models, the business managers and government policy makers would become aware and take corrective action to limit the magnitude and intensity of the downturn in the specific sector. Industry groups in turn has been shown to significantly effect forecasting models .</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lastRenderedPageBreak/>
        <w:t>(5). Signal to Investors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Investors can make better and more informed decisions based on the prediction of bankruptcy models. This not only forces the management of firms to take corrective action but also helps to soften the overall economic fallout that results from the bankruptcies. Empirical studies have shown that investment opportunities are significantly related to likelihood of bankruptcy</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(6). Relation to adjacent problems</w:t>
      </w:r>
    </w:p>
    <w:p w:rsidR="00AD2C48" w:rsidRPr="00AD2C48" w:rsidRDefault="00AD2C48" w:rsidP="00AD2C48">
      <w:pPr>
        <w:pStyle w:val="NormalWeb"/>
        <w:shd w:val="clear" w:color="auto" w:fill="FFFFFF"/>
        <w:spacing w:before="0" w:beforeAutospacing="0" w:after="0" w:afterAutospacing="0"/>
        <w:rPr>
          <w:rFonts w:ascii="Segoe UI" w:hAnsi="Segoe UI" w:cs="Segoe UI"/>
          <w:color w:val="333333"/>
          <w:sz w:val="20"/>
          <w:szCs w:val="20"/>
        </w:rPr>
      </w:pPr>
      <w:r w:rsidRPr="00AD2C48">
        <w:rPr>
          <w:rFonts w:ascii="Segoe UI" w:hAnsi="Segoe UI" w:cs="Segoe UI"/>
          <w:color w:val="333333"/>
          <w:sz w:val="20"/>
          <w:szCs w:val="20"/>
        </w:rPr>
        <w:t>Bankruptcy prediction is often the first step used by ratings agencies to detect financial distress in firms. Based on the predictions of bankruptcy models, ratings agencies investigate and assess credit risk. Getting flagged by bankruptcy prediction models is often the first step that triggers the process of revising credit ratings. A literature survey covering 2000–2013 demonstrates the close relation between bankruptcy prediction and credit risk .</w:t>
      </w:r>
    </w:p>
    <w:p w:rsidR="008D3E80" w:rsidRDefault="008D3E80" w:rsidP="008D3E80">
      <w:pPr>
        <w:shd w:val="clear" w:color="auto" w:fill="FFFFFF"/>
        <w:spacing w:after="0" w:line="240" w:lineRule="auto"/>
        <w:rPr>
          <w:rFonts w:ascii="Segoe UI" w:eastAsia="Times New Roman" w:hAnsi="Segoe UI" w:cs="Segoe UI"/>
          <w:color w:val="333333"/>
          <w:sz w:val="20"/>
        </w:rPr>
      </w:pPr>
    </w:p>
    <w:p w:rsidR="006F6FF8" w:rsidRDefault="006F6FF8" w:rsidP="008D3E80">
      <w:pPr>
        <w:shd w:val="clear" w:color="auto" w:fill="FFFFFF"/>
        <w:spacing w:after="0" w:line="240" w:lineRule="auto"/>
        <w:rPr>
          <w:rFonts w:ascii="Segoe UI" w:eastAsia="Times New Roman" w:hAnsi="Segoe UI" w:cs="Segoe UI"/>
          <w:color w:val="333333"/>
          <w:sz w:val="20"/>
        </w:rPr>
      </w:pPr>
    </w:p>
    <w:p w:rsidR="006F6FF8" w:rsidRPr="006F6FF8" w:rsidRDefault="006F6FF8" w:rsidP="006F6FF8">
      <w:pPr>
        <w:pStyle w:val="NormalWeb"/>
        <w:shd w:val="clear" w:color="auto" w:fill="FFFFFF"/>
        <w:spacing w:before="0" w:beforeAutospacing="0" w:after="0" w:afterAutospacing="0"/>
        <w:rPr>
          <w:rFonts w:ascii="Segoe UI" w:hAnsi="Segoe UI" w:cs="Segoe UI"/>
          <w:color w:val="333333"/>
          <w:sz w:val="20"/>
          <w:szCs w:val="20"/>
        </w:rPr>
      </w:pPr>
      <w:r w:rsidRPr="006F6FF8">
        <w:rPr>
          <w:rFonts w:ascii="Segoe UI" w:hAnsi="Segoe UI" w:cs="Segoe UI"/>
          <w:color w:val="333333"/>
          <w:sz w:val="20"/>
          <w:szCs w:val="20"/>
        </w:rPr>
        <w:t>In this study we have used three popular machine learning techniques—Random Forest, Support Vector Machines, and XGBoost to construct forecasting models. We find that Machine Learning models perform very well, with XGBoost being the most successful technique that achieves an accuracy score of more than 99% in out of sample testing.</w:t>
      </w:r>
    </w:p>
    <w:p w:rsidR="006F6FF8" w:rsidRPr="006F6FF8" w:rsidRDefault="006F6FF8" w:rsidP="006F6FF8">
      <w:pPr>
        <w:pStyle w:val="NormalWeb"/>
        <w:shd w:val="clear" w:color="auto" w:fill="FFFFFF"/>
        <w:spacing w:before="0" w:beforeAutospacing="0" w:after="0" w:afterAutospacing="0"/>
        <w:rPr>
          <w:rFonts w:ascii="Segoe UI" w:hAnsi="Segoe UI" w:cs="Segoe UI"/>
          <w:color w:val="333333"/>
          <w:sz w:val="20"/>
          <w:szCs w:val="20"/>
        </w:rPr>
      </w:pPr>
      <w:r w:rsidRPr="006F6FF8">
        <w:rPr>
          <w:rFonts w:ascii="Segoe UI" w:hAnsi="Segoe UI" w:cs="Segoe UI"/>
          <w:color w:val="333333"/>
          <w:sz w:val="20"/>
          <w:szCs w:val="20"/>
        </w:rPr>
        <w:t>We also apply our XGBoost model to an important current issue, the task of predicting bankruptcies during the second half of 2020. The depth of the recession caused by the lockdowns that have been imposed to contain the COVID-19 pandemic has raised worries that corporate bankruptcies may rise substantially in the near future. According to a report in the New York Times (2020), Edward Altman, a pioneer of bankruptcy prediction research, and the creator of the famous Z score model, expects a "tsunami of bankruptcies" that will exceed the number of bankruptcies that followed the 2008 financial crisis. The result from our Machine Learning model confirms Prof Altman's fears that corporate bankruptcies will rise substantially in late 2020 and equal the highs seen during the 2008-09 recession. However, this study finds that the elevated level of bankruptcies will not be significantly different from 2010.</w:t>
      </w:r>
    </w:p>
    <w:p w:rsidR="006F6FF8" w:rsidRPr="008D3E80" w:rsidRDefault="006F6FF8" w:rsidP="008D3E80">
      <w:pPr>
        <w:shd w:val="clear" w:color="auto" w:fill="FFFFFF"/>
        <w:spacing w:after="0" w:line="240" w:lineRule="auto"/>
        <w:rPr>
          <w:rFonts w:ascii="Segoe UI" w:eastAsia="Times New Roman" w:hAnsi="Segoe UI" w:cs="Segoe UI"/>
          <w:color w:val="333333"/>
          <w:sz w:val="20"/>
        </w:rPr>
      </w:pPr>
    </w:p>
    <w:p w:rsidR="00BC5FFA" w:rsidRPr="00BC5FFA" w:rsidRDefault="00BC5FFA" w:rsidP="00BC5FFA">
      <w:pPr>
        <w:pStyle w:val="Heading4"/>
        <w:shd w:val="clear" w:color="auto" w:fill="FFFFFF"/>
        <w:spacing w:before="171" w:after="86"/>
        <w:rPr>
          <w:rFonts w:ascii="Segoe UI" w:hAnsi="Segoe UI" w:cs="Segoe UI"/>
          <w:color w:val="666666"/>
          <w:sz w:val="24"/>
          <w:szCs w:val="24"/>
        </w:rPr>
      </w:pPr>
      <w:r w:rsidRPr="00BC5FFA">
        <w:rPr>
          <w:rStyle w:val="sec-title"/>
          <w:rFonts w:ascii="Segoe UI" w:hAnsi="Segoe UI" w:cs="Segoe UI"/>
          <w:i w:val="0"/>
          <w:iCs w:val="0"/>
          <w:color w:val="666666"/>
          <w:sz w:val="24"/>
          <w:szCs w:val="24"/>
        </w:rPr>
        <w:t>1.3.   Significance of this study</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The previous studies done for bankruptcy prediction have not taken a systematic view of the data used to build the models. The previous studies have been more focused on the models rather than on the data used to build the models. This study offers a much more balanced view where both the data and the models are given equal importance. To begin with, we have use Compustat are a source database to get an exhaustive list of financial ratios over US firms from 1970 to 2020. Compustat is a high-quality database used by several famous finance related papers such as </w:t>
      </w:r>
      <w:hyperlink r:id="rId4" w:anchor="b16" w:history="1">
        <w:r w:rsidRPr="00BC5FFA">
          <w:rPr>
            <w:rStyle w:val="Hyperlink"/>
            <w:rFonts w:ascii="Segoe UI" w:hAnsi="Segoe UI" w:cs="Segoe UI"/>
            <w:color w:val="000000" w:themeColor="text1"/>
            <w:sz w:val="20"/>
            <w:szCs w:val="20"/>
          </w:rPr>
          <w:t>Fama and French (1993)</w:t>
        </w:r>
      </w:hyperlink>
      <w:r w:rsidRPr="00BC5FFA">
        <w:rPr>
          <w:rFonts w:ascii="Segoe UI" w:hAnsi="Segoe UI" w:cs="Segoe UI"/>
          <w:color w:val="000000" w:themeColor="text1"/>
          <w:sz w:val="20"/>
          <w:szCs w:val="20"/>
        </w:rPr>
        <w:t>. Most of the previous studies have used relatively small datasets as compared to ours. This study takes a systematic look at as many features as possible to train our machine learning models. Our balanced approach is also consistent with the shift from model centric to data centric approach proposed by Andrew Ng (</w:t>
      </w:r>
      <w:hyperlink r:id="rId5" w:anchor="b19" w:history="1">
        <w:r w:rsidRPr="00BC5FFA">
          <w:rPr>
            <w:rStyle w:val="Hyperlink"/>
            <w:rFonts w:ascii="Segoe UI" w:hAnsi="Segoe UI" w:cs="Segoe UI"/>
            <w:color w:val="000000" w:themeColor="text1"/>
            <w:sz w:val="20"/>
            <w:szCs w:val="20"/>
          </w:rPr>
          <w:t>Gil Press, 2021</w:t>
        </w:r>
      </w:hyperlink>
      <w:r w:rsidRPr="00BC5FFA">
        <w:rPr>
          <w:rFonts w:ascii="Segoe UI" w:hAnsi="Segoe UI" w:cs="Segoe UI"/>
          <w:color w:val="000000" w:themeColor="text1"/>
          <w:sz w:val="20"/>
          <w:szCs w:val="20"/>
        </w:rPr>
        <w:t>).</w:t>
      </w:r>
    </w:p>
    <w:p w:rsidR="00BC5FFA" w:rsidRPr="00BC5FFA" w:rsidRDefault="00BC5FFA" w:rsidP="00BC5FFA">
      <w:pPr>
        <w:pStyle w:val="NormalWeb"/>
        <w:shd w:val="clear" w:color="auto" w:fill="FFFFFF"/>
        <w:tabs>
          <w:tab w:val="left" w:pos="2700"/>
        </w:tabs>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The rest of the paper is structured as follows:</w:t>
      </w:r>
      <w:r w:rsidRPr="00BC5FFA">
        <w:rPr>
          <w:rFonts w:ascii="Segoe UI" w:hAnsi="Segoe UI" w:cs="Segoe UI"/>
          <w:color w:val="000000" w:themeColor="text1"/>
          <w:sz w:val="20"/>
          <w:szCs w:val="20"/>
        </w:rPr>
        <w:tab/>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Section 2—Describes the existing literature for bankruptcy prediction.</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Section 3—Describes the data and the method used to clean, process, and fit the data into our machine learning models. This section also covers the process used to predict the number of bankruptcies using Q2-2020 ratios.</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Section 4—Describes the results observed from the experiments</w:t>
      </w:r>
    </w:p>
    <w:p w:rsidR="00BC5FFA" w:rsidRDefault="00BC5FFA" w:rsidP="00BC5FFA">
      <w:pPr>
        <w:pStyle w:val="NormalWeb"/>
        <w:shd w:val="clear" w:color="auto" w:fill="FFFFFF"/>
        <w:spacing w:before="0" w:beforeAutospacing="0" w:after="0" w:afterAutospacing="0"/>
        <w:rPr>
          <w:rFonts w:ascii="Segoe UI" w:hAnsi="Segoe UI" w:cs="Segoe UI"/>
          <w:color w:val="333333"/>
          <w:sz w:val="11"/>
          <w:szCs w:val="11"/>
        </w:rPr>
      </w:pPr>
      <w:r w:rsidRPr="00BC5FFA">
        <w:rPr>
          <w:rFonts w:ascii="Segoe UI" w:hAnsi="Segoe UI" w:cs="Segoe UI"/>
          <w:color w:val="000000" w:themeColor="text1"/>
          <w:sz w:val="20"/>
          <w:szCs w:val="20"/>
        </w:rPr>
        <w:t>Section 5—Presents our final comments and discusses the implications of the results</w:t>
      </w:r>
      <w:r>
        <w:rPr>
          <w:rFonts w:ascii="Segoe UI" w:hAnsi="Segoe UI" w:cs="Segoe UI"/>
          <w:color w:val="333333"/>
          <w:sz w:val="11"/>
          <w:szCs w:val="11"/>
        </w:rPr>
        <w:t>.</w:t>
      </w:r>
    </w:p>
    <w:p w:rsidR="00BC5FFA" w:rsidRPr="00BC5FFA" w:rsidRDefault="00BC5FFA" w:rsidP="00BC5FFA">
      <w:pPr>
        <w:pStyle w:val="Heading3"/>
        <w:pBdr>
          <w:bottom w:val="single" w:sz="4" w:space="5" w:color="D1D1D1"/>
        </w:pBdr>
        <w:shd w:val="clear" w:color="auto" w:fill="FFFFFF"/>
        <w:spacing w:before="86" w:beforeAutospacing="0" w:after="86" w:afterAutospacing="0" w:line="240" w:lineRule="atLeast"/>
        <w:rPr>
          <w:rFonts w:ascii="Segoe UI" w:hAnsi="Segoe UI" w:cs="Segoe UI"/>
          <w:color w:val="666666"/>
          <w:sz w:val="24"/>
          <w:szCs w:val="24"/>
        </w:rPr>
      </w:pPr>
      <w:r w:rsidRPr="00BC5FFA">
        <w:rPr>
          <w:rStyle w:val="sec-title"/>
          <w:rFonts w:ascii="Segoe UI" w:hAnsi="Segoe UI" w:cs="Segoe UI"/>
          <w:color w:val="666666"/>
          <w:sz w:val="24"/>
          <w:szCs w:val="24"/>
          <w:shd w:val="clear" w:color="auto" w:fill="FFFFFF"/>
        </w:rPr>
        <w:t>2.   Literature review</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 xml:space="preserve">Bankruptcy prediction models prior to 1990s were primarily statistical models employing univariate, multivariate and logit &amp; probit techniques. In 1966, Beaver applied univariate analysis in which the </w:t>
      </w:r>
      <w:r w:rsidRPr="00BC5FFA">
        <w:rPr>
          <w:rFonts w:ascii="Segoe UI" w:hAnsi="Segoe UI" w:cs="Segoe UI"/>
          <w:color w:val="000000" w:themeColor="text1"/>
          <w:sz w:val="20"/>
          <w:szCs w:val="20"/>
        </w:rPr>
        <w:lastRenderedPageBreak/>
        <w:t>predictive ability of 30 financial ratios was tested one at a time to predict bankruptcy (</w:t>
      </w:r>
      <w:hyperlink r:id="rId6" w:anchor="b3" w:history="1">
        <w:r w:rsidRPr="00BC5FFA">
          <w:rPr>
            <w:rStyle w:val="Hyperlink"/>
            <w:rFonts w:ascii="Segoe UI" w:hAnsi="Segoe UI" w:cs="Segoe UI"/>
            <w:color w:val="000000" w:themeColor="text1"/>
            <w:sz w:val="20"/>
            <w:szCs w:val="20"/>
          </w:rPr>
          <w:t>Beaver, 1966</w:t>
        </w:r>
      </w:hyperlink>
      <w:r w:rsidRPr="00BC5FFA">
        <w:rPr>
          <w:rFonts w:ascii="Segoe UI" w:hAnsi="Segoe UI" w:cs="Segoe UI"/>
          <w:color w:val="000000" w:themeColor="text1"/>
          <w:sz w:val="20"/>
          <w:szCs w:val="20"/>
        </w:rPr>
        <w:t>). Altman in 1968 performed a multi-variate discriminant analysis (MDA) using 5 ratios to create a linear discriminant function of 5 variables (</w:t>
      </w:r>
      <w:hyperlink r:id="rId7" w:anchor="b1" w:history="1">
        <w:r w:rsidRPr="00BC5FFA">
          <w:rPr>
            <w:rStyle w:val="Hyperlink"/>
            <w:rFonts w:ascii="Segoe UI" w:hAnsi="Segoe UI" w:cs="Segoe UI"/>
            <w:color w:val="000000" w:themeColor="text1"/>
            <w:sz w:val="20"/>
            <w:szCs w:val="20"/>
          </w:rPr>
          <w:t>Altman, 1968</w:t>
        </w:r>
      </w:hyperlink>
      <w:r w:rsidRPr="00BC5FFA">
        <w:rPr>
          <w:rFonts w:ascii="Segoe UI" w:hAnsi="Segoe UI" w:cs="Segoe UI"/>
          <w:color w:val="000000" w:themeColor="text1"/>
          <w:sz w:val="20"/>
          <w:szCs w:val="20"/>
        </w:rPr>
        <w:t>). Several variants of MDA were developed in the following years. Edmister used 19 financial ratios to build a linear model for bankruptcy prediction (</w:t>
      </w:r>
      <w:hyperlink r:id="rId8" w:anchor="b15" w:history="1">
        <w:r w:rsidRPr="00BC5FFA">
          <w:rPr>
            <w:rStyle w:val="Hyperlink"/>
            <w:rFonts w:ascii="Segoe UI" w:hAnsi="Segoe UI" w:cs="Segoe UI"/>
            <w:color w:val="000000" w:themeColor="text1"/>
            <w:sz w:val="20"/>
            <w:szCs w:val="20"/>
          </w:rPr>
          <w:t>Edmister, 1972</w:t>
        </w:r>
      </w:hyperlink>
      <w:r w:rsidRPr="00BC5FFA">
        <w:rPr>
          <w:rFonts w:ascii="Segoe UI" w:hAnsi="Segoe UI" w:cs="Segoe UI"/>
          <w:color w:val="000000" w:themeColor="text1"/>
          <w:sz w:val="20"/>
          <w:szCs w:val="20"/>
        </w:rPr>
        <w:t>). Deakin found that a linear combination of the 14 ratios could be used to predict bankruptcy five years prior to failure (</w:t>
      </w:r>
      <w:hyperlink r:id="rId9" w:anchor="b13" w:history="1">
        <w:r w:rsidRPr="00BC5FFA">
          <w:rPr>
            <w:rStyle w:val="Hyperlink"/>
            <w:rFonts w:ascii="Segoe UI" w:hAnsi="Segoe UI" w:cs="Segoe UI"/>
            <w:color w:val="000000" w:themeColor="text1"/>
            <w:sz w:val="20"/>
            <w:szCs w:val="20"/>
          </w:rPr>
          <w:t>Deakin, 1972</w:t>
        </w:r>
      </w:hyperlink>
      <w:r w:rsidRPr="00BC5FFA">
        <w:rPr>
          <w:rFonts w:ascii="Segoe UI" w:hAnsi="Segoe UI" w:cs="Segoe UI"/>
          <w:color w:val="000000" w:themeColor="text1"/>
          <w:sz w:val="20"/>
          <w:szCs w:val="20"/>
        </w:rPr>
        <w:t>). Ohlson studied the shortcomings of MDA models and built a conditional logit model using maximum likelihood estimation (</w:t>
      </w:r>
      <w:hyperlink r:id="rId10" w:anchor="b29" w:history="1">
        <w:r w:rsidRPr="00BC5FFA">
          <w:rPr>
            <w:rStyle w:val="Hyperlink"/>
            <w:rFonts w:ascii="Segoe UI" w:hAnsi="Segoe UI" w:cs="Segoe UI"/>
            <w:color w:val="000000" w:themeColor="text1"/>
            <w:sz w:val="20"/>
            <w:szCs w:val="20"/>
          </w:rPr>
          <w:t>Ohlson, 1980</w:t>
        </w:r>
      </w:hyperlink>
      <w:r w:rsidRPr="00BC5FFA">
        <w:rPr>
          <w:rFonts w:ascii="Segoe UI" w:hAnsi="Segoe UI" w:cs="Segoe UI"/>
          <w:color w:val="000000" w:themeColor="text1"/>
          <w:sz w:val="20"/>
          <w:szCs w:val="20"/>
        </w:rPr>
        <w:t>). The datasets used in all these studies were quite small as compared to modern standards. Ohlson's study for example used a dataset of 2058 firms out of which 105 firms represented the bankrupt class.</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The next phase in the evolution of bankruptcy models started in the 1990s with several machine learning algorithms outperforming the older statistical models. Machine learning models such as Random Forests, Support Vector Machines (SVM) and Gradient Boosted Trees were found to be particularly effective for bankruptcy prediction. Barboza, Kimura and Altman compared statistical models with machine learning (ML) models. They found the Random Forests outperformed Alman's Z-score model by a significant margin (</w:t>
      </w:r>
      <w:hyperlink r:id="rId11" w:anchor="b2" w:history="1">
        <w:r w:rsidRPr="00BC5FFA">
          <w:rPr>
            <w:rStyle w:val="Hyperlink"/>
            <w:rFonts w:ascii="Segoe UI" w:hAnsi="Segoe UI" w:cs="Segoe UI"/>
            <w:color w:val="000000" w:themeColor="text1"/>
            <w:sz w:val="20"/>
            <w:szCs w:val="20"/>
          </w:rPr>
          <w:t>Barboza et al., 2017</w:t>
        </w:r>
      </w:hyperlink>
      <w:r w:rsidRPr="00BC5FFA">
        <w:rPr>
          <w:rFonts w:ascii="Segoe UI" w:hAnsi="Segoe UI" w:cs="Segoe UI"/>
          <w:color w:val="000000" w:themeColor="text1"/>
          <w:sz w:val="20"/>
          <w:szCs w:val="20"/>
        </w:rPr>
        <w:t>). These results were corroborated by studies (</w:t>
      </w:r>
      <w:hyperlink r:id="rId12" w:anchor="b25" w:history="1">
        <w:r w:rsidRPr="00BC5FFA">
          <w:rPr>
            <w:rStyle w:val="Hyperlink"/>
            <w:rFonts w:ascii="Segoe UI" w:hAnsi="Segoe UI" w:cs="Segoe UI"/>
            <w:color w:val="000000" w:themeColor="text1"/>
            <w:sz w:val="20"/>
            <w:szCs w:val="20"/>
          </w:rPr>
          <w:t>Joshi et al., 2018</w:t>
        </w:r>
      </w:hyperlink>
      <w:r w:rsidRPr="00BC5FFA">
        <w:rPr>
          <w:rFonts w:ascii="Segoe UI" w:hAnsi="Segoe UI" w:cs="Segoe UI"/>
          <w:color w:val="000000" w:themeColor="text1"/>
          <w:sz w:val="20"/>
          <w:szCs w:val="20"/>
        </w:rPr>
        <w:t>; </w:t>
      </w:r>
      <w:hyperlink r:id="rId13" w:anchor="b31" w:history="1">
        <w:r w:rsidRPr="00BC5FFA">
          <w:rPr>
            <w:rStyle w:val="Hyperlink"/>
            <w:rFonts w:ascii="Segoe UI" w:hAnsi="Segoe UI" w:cs="Segoe UI"/>
            <w:color w:val="000000" w:themeColor="text1"/>
            <w:sz w:val="20"/>
            <w:szCs w:val="20"/>
          </w:rPr>
          <w:t>Rustam and Saragih, 2018</w:t>
        </w:r>
      </w:hyperlink>
      <w:r w:rsidRPr="00BC5FFA">
        <w:rPr>
          <w:rFonts w:ascii="Segoe UI" w:hAnsi="Segoe UI" w:cs="Segoe UI"/>
          <w:color w:val="000000" w:themeColor="text1"/>
          <w:sz w:val="20"/>
          <w:szCs w:val="20"/>
        </w:rPr>
        <w:t>; Gnip and Drotár, 2019). Support Vector Machine (SVM) was also found to be a very effective machine learning algorithm in several studies. Hang et al. (2004) and </w:t>
      </w:r>
      <w:hyperlink r:id="rId14" w:anchor="b10" w:history="1">
        <w:r w:rsidRPr="00BC5FFA">
          <w:rPr>
            <w:rStyle w:val="Hyperlink"/>
            <w:rFonts w:ascii="Segoe UI" w:hAnsi="Segoe UI" w:cs="Segoe UI"/>
            <w:color w:val="000000" w:themeColor="text1"/>
            <w:sz w:val="20"/>
            <w:szCs w:val="20"/>
          </w:rPr>
          <w:t>Chen et al. (2008)</w:t>
        </w:r>
      </w:hyperlink>
      <w:r w:rsidRPr="00BC5FFA">
        <w:rPr>
          <w:rFonts w:ascii="Segoe UI" w:hAnsi="Segoe UI" w:cs="Segoe UI"/>
          <w:color w:val="000000" w:themeColor="text1"/>
          <w:sz w:val="20"/>
          <w:szCs w:val="20"/>
        </w:rPr>
        <w:t> achieved superior results for credit rating classification problem by using SVM. </w:t>
      </w:r>
      <w:hyperlink r:id="rId15" w:anchor="b33" w:history="1">
        <w:r w:rsidRPr="00BC5FFA">
          <w:rPr>
            <w:rStyle w:val="Hyperlink"/>
            <w:rFonts w:ascii="Segoe UI" w:hAnsi="Segoe UI" w:cs="Segoe UI"/>
            <w:color w:val="000000" w:themeColor="text1"/>
            <w:sz w:val="20"/>
            <w:szCs w:val="20"/>
          </w:rPr>
          <w:t>Song et al. (2008)</w:t>
        </w:r>
      </w:hyperlink>
      <w:r w:rsidRPr="00BC5FFA">
        <w:rPr>
          <w:rFonts w:ascii="Segoe UI" w:hAnsi="Segoe UI" w:cs="Segoe UI"/>
          <w:color w:val="000000" w:themeColor="text1"/>
          <w:sz w:val="20"/>
          <w:szCs w:val="20"/>
        </w:rPr>
        <w:t> used SVM to predict financial distress. Some studies also found boosted trees-based algorithms to outperform SVM. Wang, Ma and Yang proposed a new boosted tree-based algorithm for bankruptcy prediction which they found to be more effective than SVM (</w:t>
      </w:r>
      <w:hyperlink r:id="rId16" w:anchor="b34" w:history="1">
        <w:r w:rsidRPr="00BC5FFA">
          <w:rPr>
            <w:rStyle w:val="Hyperlink"/>
            <w:rFonts w:ascii="Segoe UI" w:hAnsi="Segoe UI" w:cs="Segoe UI"/>
            <w:color w:val="000000" w:themeColor="text1"/>
            <w:sz w:val="20"/>
            <w:szCs w:val="20"/>
          </w:rPr>
          <w:t>Wang et al., 2014</w:t>
        </w:r>
      </w:hyperlink>
      <w:r w:rsidRPr="00BC5FFA">
        <w:rPr>
          <w:rFonts w:ascii="Segoe UI" w:hAnsi="Segoe UI" w:cs="Segoe UI"/>
          <w:color w:val="000000" w:themeColor="text1"/>
          <w:sz w:val="20"/>
          <w:szCs w:val="20"/>
        </w:rPr>
        <w:t>). </w:t>
      </w:r>
      <w:hyperlink r:id="rId17" w:anchor="b22" w:history="1">
        <w:r w:rsidRPr="00BC5FFA">
          <w:rPr>
            <w:rStyle w:val="Hyperlink"/>
            <w:rFonts w:ascii="Segoe UI" w:hAnsi="Segoe UI" w:cs="Segoe UI"/>
            <w:color w:val="000000" w:themeColor="text1"/>
            <w:sz w:val="20"/>
            <w:szCs w:val="20"/>
          </w:rPr>
          <w:t>Heo and Yang (2014)</w:t>
        </w:r>
      </w:hyperlink>
      <w:r w:rsidRPr="00BC5FFA">
        <w:rPr>
          <w:rFonts w:ascii="Segoe UI" w:hAnsi="Segoe UI" w:cs="Segoe UI"/>
          <w:color w:val="000000" w:themeColor="text1"/>
          <w:sz w:val="20"/>
          <w:szCs w:val="20"/>
        </w:rPr>
        <w:t> used Adaboost algorithm to predict bankruptcy for Korean construction firm. They found Adaboost to have better accuracy than SVM (</w:t>
      </w:r>
      <w:hyperlink r:id="rId18" w:anchor="b22" w:history="1">
        <w:r w:rsidRPr="00BC5FFA">
          <w:rPr>
            <w:rStyle w:val="Hyperlink"/>
            <w:rFonts w:ascii="Segoe UI" w:hAnsi="Segoe UI" w:cs="Segoe UI"/>
            <w:color w:val="000000" w:themeColor="text1"/>
            <w:sz w:val="20"/>
            <w:szCs w:val="20"/>
          </w:rPr>
          <w:t>Heo and Yang, 2014</w:t>
        </w:r>
      </w:hyperlink>
      <w:r w:rsidRPr="00BC5FFA">
        <w:rPr>
          <w:rFonts w:ascii="Segoe UI" w:hAnsi="Segoe UI" w:cs="Segoe UI"/>
          <w:color w:val="000000" w:themeColor="text1"/>
          <w:sz w:val="20"/>
          <w:szCs w:val="20"/>
        </w:rPr>
        <w:t>). A more recent study in 2021 has used XGBoost and Random Forest algorithms to predict bankruptcies over 12 months. This study used a medium sized training dataset containing data for 8959 firms registered in Italy (</w:t>
      </w:r>
      <w:hyperlink r:id="rId19" w:anchor="b30" w:history="1">
        <w:r w:rsidRPr="00BC5FFA">
          <w:rPr>
            <w:rStyle w:val="Hyperlink"/>
            <w:rFonts w:ascii="Segoe UI" w:hAnsi="Segoe UI" w:cs="Segoe UI"/>
            <w:color w:val="000000" w:themeColor="text1"/>
            <w:sz w:val="20"/>
            <w:szCs w:val="20"/>
          </w:rPr>
          <w:t>Perboli and Arabnezad, 2021</w:t>
        </w:r>
      </w:hyperlink>
      <w:r w:rsidRPr="00BC5FFA">
        <w:rPr>
          <w:rFonts w:ascii="Segoe UI" w:hAnsi="Segoe UI" w:cs="Segoe UI"/>
          <w:color w:val="000000" w:themeColor="text1"/>
          <w:sz w:val="20"/>
          <w:szCs w:val="20"/>
        </w:rPr>
        <w:t>). Another recent study uses a database of Taiwanese firms to predict bankruptcy. This study used data set contain 96 attributes for 6819 firms to train machine learning models (</w:t>
      </w:r>
      <w:hyperlink r:id="rId20" w:anchor="b35" w:history="1">
        <w:r w:rsidRPr="00BC5FFA">
          <w:rPr>
            <w:rStyle w:val="Hyperlink"/>
            <w:rFonts w:ascii="Segoe UI" w:hAnsi="Segoe UI" w:cs="Segoe UI"/>
            <w:color w:val="000000" w:themeColor="text1"/>
            <w:sz w:val="20"/>
            <w:szCs w:val="20"/>
          </w:rPr>
          <w:t>Wang and Liu, 2021</w:t>
        </w:r>
      </w:hyperlink>
      <w:r w:rsidRPr="00BC5FFA">
        <w:rPr>
          <w:rFonts w:ascii="Segoe UI" w:hAnsi="Segoe UI" w:cs="Segoe UI"/>
          <w:color w:val="000000" w:themeColor="text1"/>
          <w:sz w:val="20"/>
          <w:szCs w:val="20"/>
        </w:rPr>
        <w:t>). One common attribute shared by all the forementioned studies is the relatively small size of their training data sets. The datasets used by these studies are small as compared to datasets used in the big data era. The largest training dataset in these studies had just 2600 samples which is quite small.</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Based on the literature review, the following trends become apparent:</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  Machine Learning Models are now consistently outperforming statistical models</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  The training data sets used to train the existing machine learning models are relatively small as compared to the data sets used for training models in other application areas.</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  Ensemble methods such as Random Forest and Boosted trees have performed better than other models in bankruptcy prediction.</w:t>
      </w:r>
    </w:p>
    <w:p w:rsidR="00BC5FFA" w:rsidRPr="00BC5FFA" w:rsidRDefault="00BC5FFA" w:rsidP="00BC5FFA">
      <w:pPr>
        <w:pStyle w:val="Heading3"/>
        <w:pBdr>
          <w:bottom w:val="single" w:sz="4" w:space="5" w:color="D1D1D1"/>
        </w:pBdr>
        <w:shd w:val="clear" w:color="auto" w:fill="FFFFFF"/>
        <w:spacing w:before="86" w:beforeAutospacing="0" w:after="86" w:afterAutospacing="0" w:line="240" w:lineRule="atLeast"/>
        <w:rPr>
          <w:rFonts w:ascii="Segoe UI" w:hAnsi="Segoe UI" w:cs="Segoe UI"/>
          <w:color w:val="666666"/>
          <w:sz w:val="24"/>
          <w:szCs w:val="24"/>
        </w:rPr>
      </w:pPr>
      <w:r w:rsidRPr="00BC5FFA">
        <w:rPr>
          <w:rStyle w:val="sec-title"/>
          <w:rFonts w:ascii="Segoe UI" w:hAnsi="Segoe UI" w:cs="Segoe UI"/>
          <w:color w:val="666666"/>
          <w:sz w:val="24"/>
          <w:szCs w:val="24"/>
          <w:shd w:val="clear" w:color="auto" w:fill="FFFFFF"/>
        </w:rPr>
        <w:t>3.   Data and methodology</w:t>
      </w:r>
    </w:p>
    <w:p w:rsid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This study differentiates itself from previous studies by using a substantially larger dataset as compared to previous studies. We use a very standard and well documented dataset called Compustat to retrieve the financial ratios. Compustat is a standard financial dataset used in financial research. Compustat has been used by some very popular papers in finance such as </w:t>
      </w:r>
      <w:hyperlink r:id="rId21" w:anchor="b16" w:history="1">
        <w:r w:rsidRPr="00BC5FFA">
          <w:rPr>
            <w:rStyle w:val="Hyperlink"/>
            <w:rFonts w:ascii="Segoe UI" w:hAnsi="Segoe UI" w:cs="Segoe UI"/>
            <w:color w:val="000000" w:themeColor="text1"/>
            <w:sz w:val="20"/>
            <w:szCs w:val="20"/>
          </w:rPr>
          <w:t>Fama and French (1993)</w:t>
        </w:r>
      </w:hyperlink>
      <w:r w:rsidRPr="00BC5FFA">
        <w:rPr>
          <w:rFonts w:ascii="Segoe UI" w:hAnsi="Segoe UI" w:cs="Segoe UI"/>
          <w:color w:val="000000" w:themeColor="text1"/>
          <w:sz w:val="20"/>
          <w:szCs w:val="20"/>
        </w:rPr>
        <w:t>. We have used 57 financial ratios that are listed in </w:t>
      </w:r>
      <w:hyperlink r:id="rId22" w:anchor="Table2" w:history="1">
        <w:r w:rsidRPr="00BC5FFA">
          <w:rPr>
            <w:rStyle w:val="Hyperlink"/>
            <w:rFonts w:ascii="Segoe UI" w:hAnsi="Segoe UI" w:cs="Segoe UI"/>
            <w:color w:val="000000" w:themeColor="text1"/>
            <w:sz w:val="20"/>
            <w:szCs w:val="20"/>
          </w:rPr>
          <w:t>Table 2</w:t>
        </w:r>
      </w:hyperlink>
      <w:r w:rsidRPr="00BC5FFA">
        <w:rPr>
          <w:rFonts w:ascii="Segoe UI" w:hAnsi="Segoe UI" w:cs="Segoe UI"/>
          <w:color w:val="000000" w:themeColor="text1"/>
          <w:sz w:val="20"/>
          <w:szCs w:val="20"/>
        </w:rPr>
        <w:t>. Financial ratios are inputs used to train Bankruptcy prediction models. While most studies use fewer financial ratios, this study applies a large set of financial ratios of US Firms from 1970–2020 (50 years) to train Random Forest, SVM and XGBoost Models. This section discusses the overall methodology which includes data cleaning, balancing, model fitting, and analysis of results.</w:t>
      </w:r>
    </w:p>
    <w:p w:rsidR="004E21EE" w:rsidRDefault="004E21EE" w:rsidP="004E21EE">
      <w:pPr>
        <w:shd w:val="clear" w:color="auto" w:fill="FFFFFF"/>
        <w:spacing w:after="0" w:line="240" w:lineRule="auto"/>
        <w:rPr>
          <w:rFonts w:ascii="Segoe UI" w:eastAsia="Times New Roman" w:hAnsi="Segoe UI" w:cs="Segoe UI"/>
          <w:b/>
          <w:bCs/>
          <w:color w:val="333333"/>
          <w:sz w:val="24"/>
          <w:szCs w:val="24"/>
        </w:rPr>
      </w:pPr>
    </w:p>
    <w:p w:rsidR="004E21EE" w:rsidRDefault="004E21EE" w:rsidP="004E21EE">
      <w:pPr>
        <w:shd w:val="clear" w:color="auto" w:fill="FFFFFF"/>
        <w:spacing w:after="0" w:line="240" w:lineRule="auto"/>
        <w:rPr>
          <w:rFonts w:ascii="Segoe UI" w:eastAsia="Times New Roman" w:hAnsi="Segoe UI" w:cs="Segoe UI"/>
          <w:b/>
          <w:bCs/>
          <w:color w:val="333333"/>
          <w:sz w:val="24"/>
          <w:szCs w:val="24"/>
        </w:rPr>
      </w:pPr>
    </w:p>
    <w:p w:rsidR="004E21EE" w:rsidRDefault="004E21EE" w:rsidP="004E21EE">
      <w:pPr>
        <w:shd w:val="clear" w:color="auto" w:fill="FFFFFF"/>
        <w:spacing w:after="0" w:line="240" w:lineRule="auto"/>
        <w:rPr>
          <w:rFonts w:ascii="Segoe UI" w:eastAsia="Times New Roman" w:hAnsi="Segoe UI" w:cs="Segoe UI"/>
          <w:b/>
          <w:bCs/>
          <w:color w:val="333333"/>
          <w:sz w:val="24"/>
          <w:szCs w:val="24"/>
        </w:rPr>
      </w:pPr>
    </w:p>
    <w:p w:rsidR="004E21EE" w:rsidRPr="004E21EE" w:rsidRDefault="004E21EE" w:rsidP="004E21EE">
      <w:pPr>
        <w:shd w:val="clear" w:color="auto" w:fill="FFFFFF"/>
        <w:spacing w:after="0" w:line="240" w:lineRule="auto"/>
        <w:rPr>
          <w:rFonts w:ascii="Segoe UI" w:eastAsia="Times New Roman" w:hAnsi="Segoe UI" w:cs="Segoe UI"/>
          <w:color w:val="333333"/>
          <w:sz w:val="11"/>
          <w:szCs w:val="11"/>
        </w:rPr>
      </w:pPr>
      <w:r w:rsidRPr="004E21EE">
        <w:rPr>
          <w:rFonts w:ascii="Segoe UI" w:eastAsia="Times New Roman" w:hAnsi="Segoe UI" w:cs="Segoe UI"/>
          <w:b/>
          <w:bCs/>
          <w:color w:val="333333"/>
          <w:sz w:val="24"/>
          <w:szCs w:val="24"/>
        </w:rPr>
        <w:lastRenderedPageBreak/>
        <w:t>Table 2.</w:t>
      </w:r>
      <w:r w:rsidRPr="004E21EE">
        <w:rPr>
          <w:rFonts w:ascii="Segoe UI" w:eastAsia="Times New Roman" w:hAnsi="Segoe UI" w:cs="Segoe UI"/>
          <w:color w:val="333333"/>
          <w:sz w:val="24"/>
          <w:szCs w:val="24"/>
        </w:rPr>
        <w:t>  Distribution of training data</w:t>
      </w:r>
      <w:r w:rsidRPr="004E21EE">
        <w:rPr>
          <w:rFonts w:ascii="Segoe UI" w:eastAsia="Times New Roman" w:hAnsi="Segoe UI" w:cs="Segoe UI"/>
          <w:color w:val="333333"/>
          <w:sz w:val="11"/>
          <w:szCs w:val="11"/>
        </w:rPr>
        <w:t>.</w:t>
      </w:r>
    </w:p>
    <w:tbl>
      <w:tblPr>
        <w:tblW w:w="6274" w:type="dxa"/>
        <w:jc w:val="center"/>
        <w:tblBorders>
          <w:bottom w:val="single" w:sz="4" w:space="0" w:color="auto"/>
        </w:tblBorders>
        <w:tblCellMar>
          <w:top w:w="15" w:type="dxa"/>
          <w:left w:w="15" w:type="dxa"/>
          <w:bottom w:w="15" w:type="dxa"/>
          <w:right w:w="15" w:type="dxa"/>
        </w:tblCellMar>
        <w:tblLook w:val="04A0"/>
      </w:tblPr>
      <w:tblGrid>
        <w:gridCol w:w="4119"/>
        <w:gridCol w:w="2155"/>
      </w:tblGrid>
      <w:tr w:rsidR="004E21EE" w:rsidRPr="004E21EE" w:rsidTr="004E21EE">
        <w:trPr>
          <w:tblHeader/>
          <w:jc w:val="center"/>
        </w:trPr>
        <w:tc>
          <w:tcPr>
            <w:tcW w:w="0" w:type="auto"/>
            <w:tcBorders>
              <w:top w:val="single" w:sz="4" w:space="0" w:color="000000"/>
            </w:tcBorders>
            <w:shd w:val="clear" w:color="auto" w:fill="auto"/>
            <w:tcMar>
              <w:top w:w="26" w:type="dxa"/>
              <w:left w:w="69" w:type="dxa"/>
              <w:bottom w:w="26" w:type="dxa"/>
              <w:right w:w="69" w:type="dxa"/>
            </w:tcMar>
            <w:vAlign w:val="center"/>
            <w:hideMark/>
          </w:tcPr>
          <w:p w:rsidR="004E21EE" w:rsidRDefault="004E21EE" w:rsidP="004E21EE">
            <w:pPr>
              <w:spacing w:after="0" w:line="214" w:lineRule="atLeast"/>
              <w:rPr>
                <w:rFonts w:ascii="Times New Roman" w:eastAsia="Times New Roman" w:hAnsi="Times New Roman" w:cs="Times New Roman"/>
                <w:sz w:val="24"/>
                <w:szCs w:val="24"/>
              </w:rPr>
            </w:pPr>
          </w:p>
          <w:p w:rsidR="004E21EE" w:rsidRDefault="004E21EE" w:rsidP="004E21EE">
            <w:pPr>
              <w:spacing w:after="0" w:line="214" w:lineRule="atLeast"/>
              <w:rPr>
                <w:rFonts w:ascii="Times New Roman" w:eastAsia="Times New Roman" w:hAnsi="Times New Roman" w:cs="Times New Roman"/>
                <w:sz w:val="24"/>
                <w:szCs w:val="24"/>
              </w:rPr>
            </w:pPr>
          </w:p>
          <w:p w:rsidR="004E21EE" w:rsidRPr="004E21EE" w:rsidRDefault="004E21EE" w:rsidP="004E21EE">
            <w:pPr>
              <w:spacing w:after="0" w:line="214" w:lineRule="atLeast"/>
              <w:rPr>
                <w:rFonts w:ascii="Times New Roman" w:eastAsia="Times New Roman" w:hAnsi="Times New Roman" w:cs="Times New Roman"/>
                <w:sz w:val="24"/>
                <w:szCs w:val="24"/>
              </w:rPr>
            </w:pPr>
          </w:p>
        </w:tc>
        <w:tc>
          <w:tcPr>
            <w:tcW w:w="0" w:type="auto"/>
            <w:tcBorders>
              <w:top w:val="single" w:sz="4" w:space="0" w:color="000000"/>
            </w:tcBorders>
            <w:shd w:val="clear" w:color="auto" w:fill="auto"/>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Count</w:t>
            </w:r>
          </w:p>
        </w:tc>
      </w:tr>
      <w:tr w:rsidR="004E21EE" w:rsidRPr="004E21EE" w:rsidTr="004E21EE">
        <w:trPr>
          <w:jc w:val="center"/>
        </w:trPr>
        <w:tc>
          <w:tcPr>
            <w:tcW w:w="0" w:type="auto"/>
            <w:tcBorders>
              <w:top w:val="single" w:sz="4" w:space="0" w:color="000000"/>
            </w:tcBorders>
            <w:shd w:val="clear" w:color="auto" w:fill="auto"/>
            <w:noWrap/>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Bankrupt</w:t>
            </w:r>
          </w:p>
        </w:tc>
        <w:tc>
          <w:tcPr>
            <w:tcW w:w="0" w:type="auto"/>
            <w:tcBorders>
              <w:top w:val="single" w:sz="4" w:space="0" w:color="000000"/>
            </w:tcBorders>
            <w:shd w:val="clear" w:color="auto" w:fill="auto"/>
            <w:noWrap/>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1,212</w:t>
            </w:r>
          </w:p>
        </w:tc>
      </w:tr>
      <w:tr w:rsidR="004E21EE" w:rsidRPr="004E21EE" w:rsidTr="004E21EE">
        <w:trPr>
          <w:jc w:val="center"/>
        </w:trPr>
        <w:tc>
          <w:tcPr>
            <w:tcW w:w="0" w:type="auto"/>
            <w:shd w:val="clear" w:color="auto" w:fill="auto"/>
            <w:noWrap/>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Non-Bankrupt</w:t>
            </w:r>
          </w:p>
        </w:tc>
        <w:tc>
          <w:tcPr>
            <w:tcW w:w="0" w:type="auto"/>
            <w:shd w:val="clear" w:color="auto" w:fill="auto"/>
            <w:noWrap/>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19,902</w:t>
            </w:r>
          </w:p>
        </w:tc>
      </w:tr>
      <w:tr w:rsidR="004E21EE" w:rsidRPr="004E21EE" w:rsidTr="004E21EE">
        <w:trPr>
          <w:jc w:val="center"/>
        </w:trPr>
        <w:tc>
          <w:tcPr>
            <w:tcW w:w="0" w:type="auto"/>
            <w:tcBorders>
              <w:bottom w:val="single" w:sz="4" w:space="0" w:color="000000"/>
            </w:tcBorders>
            <w:shd w:val="clear" w:color="auto" w:fill="auto"/>
            <w:noWrap/>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Total</w:t>
            </w:r>
          </w:p>
        </w:tc>
        <w:tc>
          <w:tcPr>
            <w:tcW w:w="0" w:type="auto"/>
            <w:tcBorders>
              <w:bottom w:val="single" w:sz="4" w:space="0" w:color="000000"/>
            </w:tcBorders>
            <w:shd w:val="clear" w:color="auto" w:fill="auto"/>
            <w:noWrap/>
            <w:tcMar>
              <w:top w:w="26" w:type="dxa"/>
              <w:left w:w="69" w:type="dxa"/>
              <w:bottom w:w="26" w:type="dxa"/>
              <w:right w:w="69" w:type="dxa"/>
            </w:tcMar>
            <w:vAlign w:val="center"/>
            <w:hideMark/>
          </w:tcPr>
          <w:p w:rsidR="004E21EE" w:rsidRPr="004E21EE" w:rsidRDefault="004E21EE" w:rsidP="004E21EE">
            <w:pPr>
              <w:spacing w:after="0" w:line="214" w:lineRule="atLeast"/>
              <w:rPr>
                <w:rFonts w:ascii="Times New Roman" w:eastAsia="Times New Roman" w:hAnsi="Times New Roman" w:cs="Times New Roman"/>
                <w:sz w:val="24"/>
                <w:szCs w:val="24"/>
              </w:rPr>
            </w:pPr>
            <w:r w:rsidRPr="004E21EE">
              <w:rPr>
                <w:rFonts w:ascii="Times New Roman" w:eastAsia="Times New Roman" w:hAnsi="Times New Roman" w:cs="Times New Roman"/>
                <w:sz w:val="24"/>
                <w:szCs w:val="24"/>
              </w:rPr>
              <w:t>21,114</w:t>
            </w:r>
          </w:p>
        </w:tc>
      </w:tr>
    </w:tbl>
    <w:p w:rsidR="004E21EE" w:rsidRDefault="004E21EE" w:rsidP="00BC5FFA">
      <w:pPr>
        <w:pStyle w:val="NormalWeb"/>
        <w:shd w:val="clear" w:color="auto" w:fill="FFFFFF"/>
        <w:spacing w:before="0" w:beforeAutospacing="0" w:after="0" w:afterAutospacing="0"/>
        <w:rPr>
          <w:rFonts w:ascii="Segoe UI" w:hAnsi="Segoe UI" w:cs="Segoe UI"/>
          <w:color w:val="000000" w:themeColor="text1"/>
          <w:sz w:val="20"/>
          <w:szCs w:val="20"/>
        </w:rPr>
      </w:pPr>
    </w:p>
    <w:p w:rsid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p>
    <w:p w:rsidR="00BC5FFA" w:rsidRDefault="00BC5FFA" w:rsidP="00BC5FFA">
      <w:pPr>
        <w:pStyle w:val="Heading4"/>
        <w:shd w:val="clear" w:color="auto" w:fill="FFFFFF"/>
        <w:spacing w:before="171" w:after="86"/>
        <w:rPr>
          <w:rStyle w:val="sec-title"/>
          <w:rFonts w:ascii="Segoe UI" w:hAnsi="Segoe UI" w:cs="Segoe UI"/>
          <w:i w:val="0"/>
          <w:iCs w:val="0"/>
          <w:color w:val="666666"/>
          <w:sz w:val="24"/>
          <w:szCs w:val="24"/>
        </w:rPr>
      </w:pPr>
      <w:r w:rsidRPr="00BC5FFA">
        <w:rPr>
          <w:rStyle w:val="sec-title"/>
          <w:rFonts w:ascii="Segoe UI" w:hAnsi="Segoe UI" w:cs="Segoe UI"/>
          <w:i w:val="0"/>
          <w:iCs w:val="0"/>
          <w:color w:val="666666"/>
          <w:sz w:val="24"/>
          <w:szCs w:val="24"/>
        </w:rPr>
        <w:t>3.1.   Data</w:t>
      </w:r>
    </w:p>
    <w:p w:rsid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Previous studies have used small to medium sized data sets for training Machine learning models. This study sets itself apart by using a much larger training dataset. We used financial ratios data set from Compustat. The financial ratios data set was then joined with another dataset called Bankruptcy data set. The bankruptcy data set contains the data such as date of bankruptcy, bankruptcy reason and GVKEY (primary key) while the financial ratios dataset contains all the financial ratios mentioned in Table A.1. The two datasets were programmatically joined using a common field named GVKEY. GVKEY is a unique identifier assigned to each firm. The relation amongst the two datasets that were used to create our labelled training dataset is best represented by the ER schema diagram shown in </w:t>
      </w:r>
      <w:hyperlink r:id="rId23" w:anchor="Figure1" w:history="1">
        <w:r w:rsidRPr="00BC5FFA">
          <w:rPr>
            <w:rStyle w:val="Hyperlink"/>
            <w:rFonts w:ascii="Segoe UI" w:hAnsi="Segoe UI" w:cs="Segoe UI"/>
            <w:color w:val="000000" w:themeColor="text1"/>
            <w:sz w:val="20"/>
            <w:szCs w:val="20"/>
          </w:rPr>
          <w:t>Figure 1</w:t>
        </w:r>
      </w:hyperlink>
      <w:r w:rsidRPr="00BC5FFA">
        <w:rPr>
          <w:rFonts w:ascii="Segoe UI" w:hAnsi="Segoe UI" w:cs="Segoe UI"/>
          <w:color w:val="000000" w:themeColor="text1"/>
          <w:sz w:val="20"/>
          <w:szCs w:val="20"/>
        </w:rPr>
        <w:t>.</w:t>
      </w:r>
    </w:p>
    <w:p w:rsidR="00C26716" w:rsidRPr="00BC5FFA" w:rsidRDefault="00C26716" w:rsidP="00BC5FFA">
      <w:pPr>
        <w:pStyle w:val="NormalWeb"/>
        <w:shd w:val="clear" w:color="auto" w:fill="FFFFFF"/>
        <w:spacing w:before="0" w:beforeAutospacing="0" w:after="0" w:afterAutospacing="0"/>
        <w:rPr>
          <w:rFonts w:ascii="Segoe UI" w:hAnsi="Segoe UI" w:cs="Segoe UI"/>
          <w:color w:val="000000" w:themeColor="text1"/>
          <w:sz w:val="20"/>
          <w:szCs w:val="20"/>
        </w:rPr>
      </w:pPr>
      <w:r>
        <w:rPr>
          <w:noProof/>
        </w:rPr>
        <w:drawing>
          <wp:inline distT="0" distB="0" distL="0" distR="0">
            <wp:extent cx="5731510" cy="2248618"/>
            <wp:effectExtent l="19050" t="0" r="2540" b="0"/>
            <wp:docPr id="8" name="Picture 8" descr="https://www.aimspress.com/aimspress-data/dsfe/2021/2/PIC/DSFE-01-02-010-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imspress.com/aimspress-data/dsfe/2021/2/PIC/DSFE-01-02-010-g001.jpg"/>
                    <pic:cNvPicPr>
                      <a:picLocks noChangeAspect="1" noChangeArrowheads="1"/>
                    </pic:cNvPicPr>
                  </pic:nvPicPr>
                  <pic:blipFill>
                    <a:blip r:embed="rId24"/>
                    <a:srcRect/>
                    <a:stretch>
                      <a:fillRect/>
                    </a:stretch>
                  </pic:blipFill>
                  <pic:spPr bwMode="auto">
                    <a:xfrm>
                      <a:off x="0" y="0"/>
                      <a:ext cx="5731510" cy="2248618"/>
                    </a:xfrm>
                    <a:prstGeom prst="rect">
                      <a:avLst/>
                    </a:prstGeom>
                    <a:noFill/>
                    <a:ln w="9525">
                      <a:noFill/>
                      <a:miter lim="800000"/>
                      <a:headEnd/>
                      <a:tailEnd/>
                    </a:ln>
                  </pic:spPr>
                </pic:pic>
              </a:graphicData>
            </a:graphic>
          </wp:inline>
        </w:drawing>
      </w:r>
    </w:p>
    <w:p w:rsidR="00BC5FFA" w:rsidRDefault="00BC5FFA" w:rsidP="00BC5FFA">
      <w:pPr>
        <w:rPr>
          <w:rFonts w:ascii="Segoe UI" w:hAnsi="Segoe UI" w:cs="Segoe UI"/>
          <w:color w:val="333333"/>
          <w:sz w:val="20"/>
          <w:shd w:val="clear" w:color="auto" w:fill="FFFFFF"/>
        </w:rPr>
      </w:pPr>
      <w:r w:rsidRPr="00BC5FFA">
        <w:rPr>
          <w:rFonts w:ascii="Segoe UI" w:hAnsi="Segoe UI" w:cs="Segoe UI"/>
          <w:color w:val="333333"/>
          <w:sz w:val="20"/>
          <w:shd w:val="clear" w:color="auto" w:fill="FFFFFF"/>
        </w:rPr>
        <w:t>The financial ratios dataset we have used contains 57 financial ratios mentioned in Table A.1 in Appendix A. This is an exhaustive list of features used to train our models. We have included ratios which are often overlooked but are likely to help detect patterns related to edge cases.</w:t>
      </w:r>
    </w:p>
    <w:p w:rsidR="00BC5FFA" w:rsidRPr="00BC5FFA" w:rsidRDefault="00BC5FFA" w:rsidP="00BC5FFA">
      <w:pPr>
        <w:pStyle w:val="Heading4"/>
        <w:shd w:val="clear" w:color="auto" w:fill="FFFFFF"/>
        <w:spacing w:before="171" w:after="86"/>
        <w:rPr>
          <w:rFonts w:ascii="Segoe UI" w:hAnsi="Segoe UI" w:cs="Segoe UI"/>
          <w:color w:val="666666"/>
          <w:sz w:val="24"/>
          <w:szCs w:val="24"/>
        </w:rPr>
      </w:pPr>
      <w:r w:rsidRPr="00BC5FFA">
        <w:rPr>
          <w:rStyle w:val="sec-title"/>
          <w:rFonts w:ascii="Segoe UI" w:hAnsi="Segoe UI" w:cs="Segoe UI"/>
          <w:i w:val="0"/>
          <w:iCs w:val="0"/>
          <w:color w:val="666666"/>
          <w:sz w:val="24"/>
          <w:szCs w:val="24"/>
        </w:rPr>
        <w:t>3.2.   Methodology</w:t>
      </w:r>
    </w:p>
    <w:p w:rsidR="00BC5FFA" w:rsidRPr="00BC5FFA" w:rsidRDefault="00BC5FFA" w:rsidP="00BC5FFA">
      <w:pPr>
        <w:pStyle w:val="Heading5"/>
        <w:shd w:val="clear" w:color="auto" w:fill="FFFFFF"/>
        <w:spacing w:before="171" w:after="86"/>
        <w:rPr>
          <w:rFonts w:ascii="Segoe UI" w:hAnsi="Segoe UI" w:cs="Segoe UI"/>
          <w:color w:val="666666"/>
          <w:sz w:val="24"/>
          <w:szCs w:val="24"/>
        </w:rPr>
      </w:pPr>
      <w:r w:rsidRPr="00BC5FFA">
        <w:rPr>
          <w:rStyle w:val="sec-title"/>
          <w:rFonts w:ascii="Segoe UI" w:hAnsi="Segoe UI" w:cs="Segoe UI"/>
          <w:color w:val="666666"/>
          <w:sz w:val="24"/>
          <w:szCs w:val="24"/>
        </w:rPr>
        <w:t>3.2.1.   Data preprocessing</w:t>
      </w:r>
    </w:p>
    <w:p w:rsidR="00BC5FFA" w:rsidRP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r w:rsidRPr="00BC5FFA">
        <w:rPr>
          <w:rFonts w:ascii="Segoe UI" w:hAnsi="Segoe UI" w:cs="Segoe UI"/>
          <w:color w:val="000000" w:themeColor="text1"/>
          <w:sz w:val="20"/>
          <w:szCs w:val="20"/>
        </w:rPr>
        <w:t>The first step of building a predictive model is data pre-processing and cleaning. The original data from Compustat had 75 financial ratios for 21,114 US firms. This data covered firms established in the US between 1970 and 2020. The dataset contained firms that belonged to 2 classes: bankrupt and non-bankrupt or continuing enterprises. The dataset contains 1212 bankrupt firms and 19,902 non-bankrupt firms. The distribution of data points (samples) belonging to these two classes is summarized in </w:t>
      </w:r>
      <w:hyperlink r:id="rId25" w:anchor="Table2" w:history="1">
        <w:r w:rsidRPr="00BC5FFA">
          <w:rPr>
            <w:rStyle w:val="Hyperlink"/>
            <w:rFonts w:ascii="Segoe UI" w:hAnsi="Segoe UI" w:cs="Segoe UI"/>
            <w:color w:val="000000" w:themeColor="text1"/>
            <w:sz w:val="20"/>
            <w:szCs w:val="20"/>
            <w:u w:val="none"/>
          </w:rPr>
          <w:t>Table 2</w:t>
        </w:r>
      </w:hyperlink>
      <w:r w:rsidRPr="00BC5FFA">
        <w:rPr>
          <w:rFonts w:ascii="Segoe UI" w:hAnsi="Segoe UI" w:cs="Segoe UI"/>
          <w:color w:val="000000" w:themeColor="text1"/>
          <w:sz w:val="20"/>
          <w:szCs w:val="20"/>
        </w:rPr>
        <w:t xml:space="preserve">. The next step was to drop features which had null values for more than 6000 firms out of 21,114 firms. This step ensured that we don't have more than 30% of null values in any feature. The goal is to ensure that the true distribution generating this data is preserved and learned by our machine learning models. 18 features (financial ratios) were dropped from the data set because </w:t>
      </w:r>
      <w:r w:rsidRPr="00BC5FFA">
        <w:rPr>
          <w:rFonts w:ascii="Segoe UI" w:hAnsi="Segoe UI" w:cs="Segoe UI"/>
          <w:color w:val="000000" w:themeColor="text1"/>
          <w:sz w:val="20"/>
          <w:szCs w:val="20"/>
        </w:rPr>
        <w:lastRenderedPageBreak/>
        <w:t>they had null values for more than 6000 (30% of total number of firms). The dataset now had 75 − 18 = 57 features. Next, we scaled our data to have mean = 0 and variance = 1 using Scikit-learns Standard Scaler class. Scaling is required to ensure that gradient descent converges on the minima of the loss function. The last step of data cleaning was to impute the missing values in the 57 financial ratios (features). For imputing the missing values, we used the KNN algorithm which used three nearest neighbours to estimate the missing value. Further, the weight assigned to each neighbour is a function of its Euclidean distance from the data point with missing value. KNN with 3-neighbours has been found to be effective in preserving the true distribution of the data (</w:t>
      </w:r>
      <w:hyperlink r:id="rId26" w:anchor="b5" w:history="1">
        <w:r w:rsidRPr="00BC5FFA">
          <w:rPr>
            <w:rStyle w:val="Hyperlink"/>
            <w:rFonts w:ascii="Segoe UI" w:hAnsi="Segoe UI" w:cs="Segoe UI"/>
            <w:color w:val="000000" w:themeColor="text1"/>
            <w:sz w:val="20"/>
            <w:szCs w:val="20"/>
            <w:u w:val="none"/>
          </w:rPr>
          <w:t>Beretta and Santaniello, 2016</w:t>
        </w:r>
      </w:hyperlink>
      <w:r w:rsidRPr="00BC5FFA">
        <w:rPr>
          <w:rFonts w:ascii="Segoe UI" w:hAnsi="Segoe UI" w:cs="Segoe UI"/>
          <w:color w:val="000000" w:themeColor="text1"/>
          <w:sz w:val="20"/>
          <w:szCs w:val="20"/>
        </w:rPr>
        <w:t>).</w:t>
      </w:r>
    </w:p>
    <w:p w:rsidR="00BC5FFA" w:rsidRPr="00BC5FFA" w:rsidRDefault="00BC5FFA" w:rsidP="00BC5FFA">
      <w:pPr>
        <w:pStyle w:val="Heading5"/>
        <w:shd w:val="clear" w:color="auto" w:fill="FFFFFF"/>
        <w:spacing w:before="171" w:after="86"/>
        <w:rPr>
          <w:rFonts w:ascii="Segoe UI" w:hAnsi="Segoe UI" w:cs="Segoe UI"/>
          <w:color w:val="666666"/>
          <w:sz w:val="24"/>
          <w:szCs w:val="24"/>
        </w:rPr>
      </w:pPr>
      <w:r w:rsidRPr="00BC5FFA">
        <w:rPr>
          <w:rStyle w:val="sec-title"/>
          <w:rFonts w:ascii="Segoe UI" w:hAnsi="Segoe UI" w:cs="Segoe UI"/>
          <w:color w:val="666666"/>
          <w:sz w:val="24"/>
          <w:szCs w:val="24"/>
        </w:rPr>
        <w:t>3.2.2.   Balancing the dataset</w:t>
      </w:r>
    </w:p>
    <w:p w:rsidR="00BC5FFA" w:rsidRDefault="00BC5FFA" w:rsidP="00BC5FFA">
      <w:pPr>
        <w:pStyle w:val="NormalWeb"/>
        <w:shd w:val="clear" w:color="auto" w:fill="FFFFFF"/>
        <w:spacing w:before="0" w:beforeAutospacing="0" w:after="0" w:afterAutospacing="0"/>
        <w:rPr>
          <w:rFonts w:ascii="Segoe UI" w:hAnsi="Segoe UI" w:cs="Segoe UI"/>
          <w:color w:val="333333"/>
          <w:sz w:val="11"/>
          <w:szCs w:val="11"/>
        </w:rPr>
      </w:pPr>
      <w:r w:rsidRPr="00BC5FFA">
        <w:rPr>
          <w:rFonts w:ascii="Segoe UI" w:hAnsi="Segoe UI" w:cs="Segoe UI"/>
          <w:color w:val="000000" w:themeColor="text1"/>
          <w:sz w:val="20"/>
          <w:szCs w:val="20"/>
        </w:rPr>
        <w:t>The cleaned and scaled dataset without any missing values was an imbalanced dataset (see </w:t>
      </w:r>
      <w:hyperlink r:id="rId27" w:anchor="Table2" w:history="1">
        <w:r w:rsidRPr="00BC5FFA">
          <w:rPr>
            <w:rStyle w:val="Hyperlink"/>
            <w:rFonts w:ascii="Segoe UI" w:hAnsi="Segoe UI" w:cs="Segoe UI"/>
            <w:color w:val="000000" w:themeColor="text1"/>
            <w:sz w:val="20"/>
            <w:szCs w:val="20"/>
            <w:u w:val="none"/>
          </w:rPr>
          <w:t>Table 2</w:t>
        </w:r>
      </w:hyperlink>
      <w:r w:rsidRPr="00BC5FFA">
        <w:rPr>
          <w:rFonts w:ascii="Segoe UI" w:hAnsi="Segoe UI" w:cs="Segoe UI"/>
          <w:color w:val="000000" w:themeColor="text1"/>
          <w:sz w:val="20"/>
          <w:szCs w:val="20"/>
        </w:rPr>
        <w:t>). The dominant class was the bankruptcy class. Approximately 90% of the samples belonged to the majority class which is non-bankrupt firms. Since the goal of this study is train a classifier to identify bankrupt firms, we decided to balance the classes in our training data. This would ensure that our model would learn about the minority class which is the bankrupt class. This is important in the context of bankruptcy prediction because detecting samples belonging to the bankrupt class. To balance the dataset, we use the Synthetic Minority Over-sampling technique (SMOTE) proposed by Chawla et al. (</w:t>
      </w:r>
      <w:hyperlink r:id="rId28" w:anchor="b8" w:history="1">
        <w:r w:rsidRPr="00BC5FFA">
          <w:rPr>
            <w:rStyle w:val="Hyperlink"/>
            <w:rFonts w:ascii="Segoe UI" w:hAnsi="Segoe UI" w:cs="Segoe UI"/>
            <w:color w:val="000000" w:themeColor="text1"/>
            <w:sz w:val="20"/>
            <w:szCs w:val="20"/>
            <w:u w:val="none"/>
          </w:rPr>
          <w:t>Chawla et al., 2002</w:t>
        </w:r>
      </w:hyperlink>
      <w:r w:rsidRPr="00BC5FFA">
        <w:rPr>
          <w:rFonts w:ascii="Segoe UI" w:hAnsi="Segoe UI" w:cs="Segoe UI"/>
          <w:color w:val="000000" w:themeColor="text1"/>
          <w:sz w:val="20"/>
          <w:szCs w:val="20"/>
        </w:rPr>
        <w:t>). SMOTE generates synthetic samples using the features of the data. The minority class is oversampled by taking a minority class sample and then a line is drawn from this minority class sample to k-nearest minority class samples. Synthetic minority class samples are generated along the line joining the minority class sample to its minority class neighbours. Additionally, to ensure that our balanced dataset facilitated learning of the bankrupt class, we also used Borderline-SVM SMOTE. Borderline-SVM SMOTE technique uses samples close the decision boundary (support vectors) to create synthetic samples (</w:t>
      </w:r>
      <w:hyperlink r:id="rId29" w:anchor="b28" w:history="1">
        <w:r w:rsidRPr="00BC5FFA">
          <w:rPr>
            <w:rStyle w:val="Hyperlink"/>
            <w:rFonts w:ascii="Segoe UI" w:hAnsi="Segoe UI" w:cs="Segoe UI"/>
            <w:color w:val="000000" w:themeColor="text1"/>
            <w:sz w:val="20"/>
            <w:szCs w:val="20"/>
            <w:u w:val="none"/>
          </w:rPr>
          <w:t>Nguyen et al., 2011</w:t>
        </w:r>
      </w:hyperlink>
      <w:r w:rsidRPr="00BC5FFA">
        <w:rPr>
          <w:rFonts w:ascii="Segoe UI" w:hAnsi="Segoe UI" w:cs="Segoe UI"/>
          <w:color w:val="000000" w:themeColor="text1"/>
          <w:sz w:val="20"/>
          <w:szCs w:val="20"/>
        </w:rPr>
        <w:t>). Finally, we used the Adaptive Synthetic Sampling (ADASYN) algorithm of He, Bai, Garcia and Li to generate samples in regions of feature space where the density of minority samples is low (</w:t>
      </w:r>
      <w:hyperlink r:id="rId30" w:anchor="b21" w:history="1">
        <w:r w:rsidRPr="00BC5FFA">
          <w:rPr>
            <w:rStyle w:val="Hyperlink"/>
            <w:rFonts w:ascii="Segoe UI" w:hAnsi="Segoe UI" w:cs="Segoe UI"/>
            <w:color w:val="000000" w:themeColor="text1"/>
            <w:sz w:val="20"/>
            <w:szCs w:val="20"/>
            <w:u w:val="none"/>
          </w:rPr>
          <w:t>He et al., 2008</w:t>
        </w:r>
      </w:hyperlink>
      <w:r w:rsidRPr="00BC5FFA">
        <w:rPr>
          <w:rFonts w:ascii="Segoe UI" w:hAnsi="Segoe UI" w:cs="Segoe UI"/>
          <w:color w:val="000000" w:themeColor="text1"/>
          <w:sz w:val="20"/>
          <w:szCs w:val="20"/>
        </w:rPr>
        <w:t>). The result was a balanced dataset containing 19902 samples of non-bankrupt class and 20,517 bankrupt class. The balanced dataset has 57 financial ratios (features</w:t>
      </w:r>
      <w:r>
        <w:rPr>
          <w:rFonts w:ascii="Segoe UI" w:hAnsi="Segoe UI" w:cs="Segoe UI"/>
          <w:color w:val="333333"/>
          <w:sz w:val="11"/>
          <w:szCs w:val="11"/>
        </w:rPr>
        <w:t>).</w:t>
      </w:r>
    </w:p>
    <w:p w:rsidR="00BC5FFA" w:rsidRPr="00BC5FFA" w:rsidRDefault="00BC5FFA" w:rsidP="00BC5FFA">
      <w:pPr>
        <w:pStyle w:val="Heading5"/>
        <w:shd w:val="clear" w:color="auto" w:fill="FFFFFF"/>
        <w:spacing w:before="171" w:after="86"/>
        <w:rPr>
          <w:rFonts w:ascii="Segoe UI" w:hAnsi="Segoe UI" w:cs="Segoe UI"/>
          <w:color w:val="666666"/>
          <w:sz w:val="24"/>
          <w:szCs w:val="24"/>
        </w:rPr>
      </w:pPr>
      <w:r w:rsidRPr="00BC5FFA">
        <w:rPr>
          <w:rStyle w:val="sec-title"/>
          <w:rFonts w:ascii="Segoe UI" w:hAnsi="Segoe UI" w:cs="Segoe UI"/>
          <w:color w:val="666666"/>
          <w:sz w:val="24"/>
          <w:szCs w:val="24"/>
        </w:rPr>
        <w:t>3.2.3.   Fitting training data into models</w:t>
      </w:r>
    </w:p>
    <w:p w:rsidR="00BC5FFA" w:rsidRPr="00901B77" w:rsidRDefault="00BC5FFA" w:rsidP="00BC5FFA">
      <w:pPr>
        <w:pStyle w:val="NormalWeb"/>
        <w:shd w:val="clear" w:color="auto" w:fill="FFFFFF"/>
        <w:spacing w:before="0" w:beforeAutospacing="0" w:after="0" w:afterAutospacing="0"/>
        <w:rPr>
          <w:rFonts w:ascii="Segoe UI" w:hAnsi="Segoe UI" w:cs="Segoe UI"/>
          <w:color w:val="333333"/>
          <w:sz w:val="20"/>
          <w:szCs w:val="20"/>
        </w:rPr>
      </w:pPr>
      <w:r w:rsidRPr="00901B77">
        <w:rPr>
          <w:rFonts w:ascii="Segoe UI" w:hAnsi="Segoe UI" w:cs="Segoe UI"/>
          <w:color w:val="333333"/>
          <w:sz w:val="20"/>
          <w:szCs w:val="20"/>
        </w:rPr>
        <w:t>The balanced dataset was then shuffled and split into training set containing 70% of the samples and test set containing 30% of the samples. The purpose of creating a test set is to test the accuracy of the models on data that the models have not been trained on. Collecting metrics based on the test set gives practitioners an idea of the generalization performance of machine learning models.</w:t>
      </w:r>
    </w:p>
    <w:p w:rsidR="00BC5FFA" w:rsidRPr="00901B77" w:rsidRDefault="00BC5FFA" w:rsidP="00BC5FFA">
      <w:pPr>
        <w:pStyle w:val="NormalWeb"/>
        <w:shd w:val="clear" w:color="auto" w:fill="FFFFFF"/>
        <w:spacing w:before="0" w:beforeAutospacing="0" w:after="0" w:afterAutospacing="0"/>
        <w:rPr>
          <w:rFonts w:ascii="Segoe UI" w:hAnsi="Segoe UI" w:cs="Segoe UI"/>
          <w:color w:val="333333"/>
          <w:sz w:val="20"/>
          <w:szCs w:val="20"/>
        </w:rPr>
      </w:pPr>
      <w:r w:rsidRPr="00901B77">
        <w:rPr>
          <w:rFonts w:ascii="Segoe UI" w:hAnsi="Segoe UI" w:cs="Segoe UI"/>
          <w:color w:val="333333"/>
          <w:sz w:val="20"/>
          <w:szCs w:val="20"/>
        </w:rPr>
        <w:t>The training data set was fitted into three machine learning models. These models are: Random Forest, Support Vector Machine (SVM) and XGBoost. After fitting, the models were then used to predict for samples in the test set to assess their relative performance.</w:t>
      </w:r>
    </w:p>
    <w:p w:rsidR="00BC5FFA" w:rsidRPr="00901B77" w:rsidRDefault="00BC5FFA" w:rsidP="00BC5FFA">
      <w:pPr>
        <w:pStyle w:val="Heading5"/>
        <w:shd w:val="clear" w:color="auto" w:fill="FFFFFF"/>
        <w:spacing w:before="171" w:after="86"/>
        <w:rPr>
          <w:rFonts w:ascii="Segoe UI" w:hAnsi="Segoe UI" w:cs="Segoe UI"/>
          <w:color w:val="666666"/>
          <w:sz w:val="24"/>
          <w:szCs w:val="24"/>
        </w:rPr>
      </w:pPr>
      <w:r w:rsidRPr="00901B77">
        <w:rPr>
          <w:rStyle w:val="sec-title"/>
          <w:rFonts w:ascii="Segoe UI" w:hAnsi="Segoe UI" w:cs="Segoe UI"/>
          <w:color w:val="666666"/>
          <w:sz w:val="24"/>
          <w:szCs w:val="24"/>
        </w:rPr>
        <w:t>3.2.4.   Performance analysis</w:t>
      </w:r>
    </w:p>
    <w:p w:rsidR="00BC5FFA" w:rsidRPr="00901B77" w:rsidRDefault="00BC5FFA" w:rsidP="00BC5FFA">
      <w:pPr>
        <w:pStyle w:val="NormalWeb"/>
        <w:shd w:val="clear" w:color="auto" w:fill="FFFFFF"/>
        <w:spacing w:before="0" w:beforeAutospacing="0" w:after="0" w:afterAutospacing="0"/>
        <w:rPr>
          <w:rFonts w:ascii="Segoe UI" w:hAnsi="Segoe UI" w:cs="Segoe UI"/>
          <w:color w:val="333333"/>
          <w:sz w:val="20"/>
          <w:szCs w:val="20"/>
        </w:rPr>
      </w:pPr>
      <w:r w:rsidRPr="00901B77">
        <w:rPr>
          <w:rFonts w:ascii="Segoe UI" w:hAnsi="Segoe UI" w:cs="Segoe UI"/>
          <w:color w:val="333333"/>
          <w:sz w:val="20"/>
          <w:szCs w:val="20"/>
        </w:rPr>
        <w:t>For comparing the performance of the models, we decided to use Accuracy score, Receiver Operating Curve (ROC) and Area Under ROC Curve (AUC). Accuracy score can be used because we are training our models using a balanced dataset. However, to get a better idea of the True Positive Rate (TPR) and False Positive Rate (FPR) we decided to employ ROC and AUC metrics as well. It is important to compare the TPR and FPR because it is more to avoid False negatives (FN) as compared to False positives (FP). False negative (FN) would be a firm which would go bankrupt but is wrongly classified by our model as a non-bankrupt sample. False positive (FP) on the other hand would be a firm that is not bankrupt but is wrongly classified as a bankrupt firm.</w:t>
      </w:r>
    </w:p>
    <w:p w:rsidR="00BC5FFA" w:rsidRPr="00901B77" w:rsidRDefault="00BC5FFA" w:rsidP="00BC5FFA">
      <w:pPr>
        <w:pStyle w:val="Heading5"/>
        <w:shd w:val="clear" w:color="auto" w:fill="FFFFFF"/>
        <w:spacing w:before="171" w:after="86"/>
        <w:rPr>
          <w:rFonts w:ascii="Segoe UI" w:hAnsi="Segoe UI" w:cs="Segoe UI"/>
          <w:color w:val="666666"/>
          <w:sz w:val="24"/>
          <w:szCs w:val="24"/>
        </w:rPr>
      </w:pPr>
      <w:r w:rsidRPr="00901B77">
        <w:rPr>
          <w:rStyle w:val="sec-title"/>
          <w:rFonts w:ascii="Segoe UI" w:hAnsi="Segoe UI" w:cs="Segoe UI"/>
          <w:color w:val="666666"/>
          <w:sz w:val="24"/>
          <w:szCs w:val="24"/>
        </w:rPr>
        <w:lastRenderedPageBreak/>
        <w:t>3.2.5.   Predicting bankruptcies</w:t>
      </w:r>
    </w:p>
    <w:p w:rsidR="00BC5FFA" w:rsidRDefault="00BC5FFA" w:rsidP="00BC5FFA">
      <w:pPr>
        <w:pStyle w:val="NormalWeb"/>
        <w:shd w:val="clear" w:color="auto" w:fill="FFFFFF"/>
        <w:spacing w:before="0" w:beforeAutospacing="0" w:after="0" w:afterAutospacing="0"/>
        <w:rPr>
          <w:rFonts w:ascii="Segoe UI" w:hAnsi="Segoe UI" w:cs="Segoe UI"/>
          <w:color w:val="333333"/>
          <w:sz w:val="20"/>
          <w:szCs w:val="20"/>
        </w:rPr>
      </w:pPr>
      <w:r w:rsidRPr="00901B77">
        <w:rPr>
          <w:rFonts w:ascii="Segoe UI" w:hAnsi="Segoe UI" w:cs="Segoe UI"/>
          <w:color w:val="333333"/>
          <w:sz w:val="20"/>
          <w:szCs w:val="20"/>
        </w:rPr>
        <w:t>The goal of this study is to predict number of bankruptcies within the next 30, 90 and 180 days. We trained 3 different models to predict the number of bankruptcies within 30, 90 and 180 days. The models were built and analysed using the same approach. The only difference was that the training and test labels for each model were derived from the bankruptcy date. For example, to train the model for predicting number of bankruptcies within 30 days, we used</w:t>
      </w:r>
    </w:p>
    <w:tbl>
      <w:tblPr>
        <w:tblW w:w="6429" w:type="dxa"/>
        <w:shd w:val="clear" w:color="auto" w:fill="FFFFFF"/>
        <w:tblCellMar>
          <w:top w:w="15" w:type="dxa"/>
          <w:left w:w="15" w:type="dxa"/>
          <w:bottom w:w="15" w:type="dxa"/>
          <w:right w:w="15" w:type="dxa"/>
        </w:tblCellMar>
        <w:tblLook w:val="04A0"/>
      </w:tblPr>
      <w:tblGrid>
        <w:gridCol w:w="6429"/>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X</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Matrix</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of</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shape</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M</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N</w:t>
            </w:r>
            <w:r w:rsidRPr="00901B77">
              <w:rPr>
                <w:rFonts w:ascii="MathJax_Main" w:eastAsia="Times New Roman" w:hAnsi="MathJax_Main" w:cs="Segoe UI"/>
                <w:color w:val="333333"/>
                <w:sz w:val="20"/>
              </w:rPr>
              <w:t>)</w:t>
            </w:r>
            <w:r w:rsidRPr="00901B77">
              <w:rPr>
                <w:rFonts w:ascii="Segoe UI" w:eastAsia="Times New Roman" w:hAnsi="Segoe UI" w:cs="Segoe UI"/>
                <w:color w:val="333333"/>
                <w:sz w:val="20"/>
              </w:rPr>
              <w:t>X=Matrix of shape(M,N)</w:t>
            </w:r>
          </w:p>
        </w:tc>
      </w:tr>
    </w:tbl>
    <w:p w:rsidR="00901B77" w:rsidRPr="00901B77" w:rsidRDefault="00901B77" w:rsidP="00901B77">
      <w:pPr>
        <w:shd w:val="clear" w:color="auto" w:fill="FFFFFF"/>
        <w:spacing w:after="0" w:line="240" w:lineRule="auto"/>
        <w:rPr>
          <w:rFonts w:ascii="Segoe UI" w:eastAsia="Times New Roman" w:hAnsi="Segoe UI" w:cs="Segoe UI"/>
          <w:color w:val="333333"/>
          <w:sz w:val="20"/>
        </w:rPr>
      </w:pPr>
      <w:r w:rsidRPr="00901B77">
        <w:rPr>
          <w:rFonts w:ascii="Segoe UI" w:eastAsia="Times New Roman" w:hAnsi="Segoe UI" w:cs="Segoe UI"/>
          <w:i/>
          <w:iCs/>
          <w:color w:val="333333"/>
          <w:sz w:val="20"/>
        </w:rPr>
        <w:t>where</w:t>
      </w:r>
    </w:p>
    <w:tbl>
      <w:tblPr>
        <w:tblW w:w="6429" w:type="dxa"/>
        <w:shd w:val="clear" w:color="auto" w:fill="FFFFFF"/>
        <w:tblCellMar>
          <w:top w:w="15" w:type="dxa"/>
          <w:left w:w="15" w:type="dxa"/>
          <w:bottom w:w="15" w:type="dxa"/>
          <w:right w:w="15" w:type="dxa"/>
        </w:tblCellMar>
        <w:tblLook w:val="04A0"/>
      </w:tblPr>
      <w:tblGrid>
        <w:gridCol w:w="6429"/>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M</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Number</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of</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Firms</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samples</w:t>
            </w:r>
            <w:r w:rsidRPr="00901B77">
              <w:rPr>
                <w:rFonts w:ascii="MathJax_Main" w:eastAsia="Times New Roman" w:hAnsi="MathJax_Main" w:cs="Segoe UI"/>
                <w:color w:val="333333"/>
                <w:sz w:val="20"/>
              </w:rPr>
              <w:t>)</w:t>
            </w:r>
            <w:r w:rsidRPr="00901B77">
              <w:rPr>
                <w:rFonts w:ascii="Segoe UI" w:eastAsia="Times New Roman" w:hAnsi="Segoe UI" w:cs="Segoe UI"/>
                <w:color w:val="333333"/>
                <w:sz w:val="20"/>
              </w:rPr>
              <w:t>M=Number of Firms (samples)</w:t>
            </w:r>
          </w:p>
        </w:tc>
      </w:tr>
    </w:tbl>
    <w:p w:rsidR="00901B77" w:rsidRPr="00901B77" w:rsidRDefault="00901B77" w:rsidP="00901B77">
      <w:pPr>
        <w:spacing w:after="0" w:line="240" w:lineRule="auto"/>
        <w:rPr>
          <w:rFonts w:ascii="Times New Roman" w:eastAsia="Times New Roman" w:hAnsi="Times New Roman" w:cs="Times New Roman"/>
          <w:vanish/>
          <w:sz w:val="20"/>
        </w:rPr>
      </w:pPr>
    </w:p>
    <w:tbl>
      <w:tblPr>
        <w:tblW w:w="6429" w:type="dxa"/>
        <w:shd w:val="clear" w:color="auto" w:fill="FFFFFF"/>
        <w:tblCellMar>
          <w:top w:w="15" w:type="dxa"/>
          <w:left w:w="15" w:type="dxa"/>
          <w:bottom w:w="15" w:type="dxa"/>
          <w:right w:w="15" w:type="dxa"/>
        </w:tblCellMar>
        <w:tblLook w:val="04A0"/>
      </w:tblPr>
      <w:tblGrid>
        <w:gridCol w:w="6429"/>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N</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Number</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of</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features</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Ratios</w:t>
            </w:r>
            <w:r w:rsidRPr="00901B77">
              <w:rPr>
                <w:rFonts w:ascii="MathJax_Main" w:eastAsia="Times New Roman" w:hAnsi="MathJax_Main" w:cs="Segoe UI"/>
                <w:color w:val="333333"/>
                <w:sz w:val="20"/>
              </w:rPr>
              <w:t>)</w:t>
            </w:r>
            <w:r w:rsidRPr="00901B77">
              <w:rPr>
                <w:rFonts w:ascii="Segoe UI" w:eastAsia="Times New Roman" w:hAnsi="Segoe UI" w:cs="Segoe UI"/>
                <w:color w:val="333333"/>
                <w:sz w:val="20"/>
              </w:rPr>
              <w:t>N=Number of features (Ratios)</w:t>
            </w:r>
          </w:p>
        </w:tc>
      </w:tr>
    </w:tbl>
    <w:p w:rsidR="00901B77" w:rsidRPr="00901B77" w:rsidRDefault="00901B77" w:rsidP="00901B77">
      <w:pPr>
        <w:spacing w:after="0" w:line="240" w:lineRule="auto"/>
        <w:rPr>
          <w:rFonts w:ascii="Times New Roman" w:eastAsia="Times New Roman" w:hAnsi="Times New Roman" w:cs="Times New Roman"/>
          <w:vanish/>
          <w:sz w:val="20"/>
        </w:rPr>
      </w:pPr>
    </w:p>
    <w:tbl>
      <w:tblPr>
        <w:tblW w:w="6429" w:type="dxa"/>
        <w:shd w:val="clear" w:color="auto" w:fill="FFFFFF"/>
        <w:tblCellMar>
          <w:top w:w="15" w:type="dxa"/>
          <w:left w:w="15" w:type="dxa"/>
          <w:bottom w:w="15" w:type="dxa"/>
          <w:right w:w="15" w:type="dxa"/>
        </w:tblCellMar>
        <w:tblLook w:val="04A0"/>
      </w:tblPr>
      <w:tblGrid>
        <w:gridCol w:w="6429"/>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Y</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Vector</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of</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Shape</w:t>
            </w:r>
            <w:r w:rsidRPr="00901B77">
              <w:rPr>
                <w:rFonts w:ascii="MathJax_Main" w:eastAsia="Times New Roman" w:hAnsi="MathJax_Main" w:cs="Segoe UI"/>
                <w:color w:val="333333"/>
                <w:sz w:val="20"/>
              </w:rPr>
              <w:t>(</w:t>
            </w:r>
            <w:r w:rsidRPr="00901B77">
              <w:rPr>
                <w:rFonts w:ascii="MathJax_Math-italic" w:eastAsia="Times New Roman" w:hAnsi="MathJax_Math-italic" w:cs="Segoe UI"/>
                <w:color w:val="333333"/>
                <w:sz w:val="20"/>
              </w:rPr>
              <w:t>M</w:t>
            </w:r>
            <w:r w:rsidRPr="00901B77">
              <w:rPr>
                <w:rFonts w:ascii="MathJax_Main" w:eastAsia="Times New Roman" w:hAnsi="MathJax_Main" w:cs="Segoe UI"/>
                <w:color w:val="333333"/>
                <w:sz w:val="20"/>
              </w:rPr>
              <w:t>,1)</w:t>
            </w:r>
            <w:r w:rsidRPr="00901B77">
              <w:rPr>
                <w:rFonts w:ascii="Segoe UI" w:eastAsia="Times New Roman" w:hAnsi="Segoe UI" w:cs="Segoe UI"/>
                <w:color w:val="333333"/>
                <w:sz w:val="20"/>
              </w:rPr>
              <w:t>Y=Vector of Shape(M,1)</w:t>
            </w:r>
          </w:p>
        </w:tc>
      </w:tr>
    </w:tbl>
    <w:p w:rsidR="00901B77" w:rsidRPr="00901B77" w:rsidRDefault="00901B77" w:rsidP="00901B77">
      <w:pPr>
        <w:shd w:val="clear" w:color="auto" w:fill="FFFFFF"/>
        <w:spacing w:after="0" w:line="240" w:lineRule="auto"/>
        <w:rPr>
          <w:rFonts w:ascii="Segoe UI" w:eastAsia="Times New Roman" w:hAnsi="Segoe UI" w:cs="Segoe UI"/>
          <w:color w:val="333333"/>
          <w:sz w:val="20"/>
        </w:rPr>
      </w:pPr>
      <w:r w:rsidRPr="00901B77">
        <w:rPr>
          <w:rFonts w:ascii="Segoe UI" w:eastAsia="Times New Roman" w:hAnsi="Segoe UI" w:cs="Segoe UI"/>
          <w:i/>
          <w:iCs/>
          <w:color w:val="333333"/>
          <w:sz w:val="20"/>
        </w:rPr>
        <w:t>where</w:t>
      </w:r>
    </w:p>
    <w:tbl>
      <w:tblPr>
        <w:tblW w:w="6429" w:type="dxa"/>
        <w:shd w:val="clear" w:color="auto" w:fill="FFFFFF"/>
        <w:tblCellMar>
          <w:top w:w="15" w:type="dxa"/>
          <w:left w:w="15" w:type="dxa"/>
          <w:bottom w:w="15" w:type="dxa"/>
          <w:right w:w="15" w:type="dxa"/>
        </w:tblCellMar>
        <w:tblLook w:val="04A0"/>
      </w:tblPr>
      <w:tblGrid>
        <w:gridCol w:w="6429"/>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Yi</w:t>
            </w:r>
            <w:r w:rsidRPr="00901B77">
              <w:rPr>
                <w:rFonts w:ascii="MathJax_Main" w:eastAsia="Times New Roman" w:hAnsi="MathJax_Main" w:cs="Segoe UI"/>
                <w:color w:val="333333"/>
                <w:sz w:val="20"/>
              </w:rPr>
              <w:t>=1 </w:t>
            </w:r>
            <w:r w:rsidRPr="00901B77">
              <w:rPr>
                <w:rFonts w:ascii="MathJax_Math-italic" w:eastAsia="Times New Roman" w:hAnsi="MathJax_Math-italic" w:cs="Segoe UI"/>
                <w:color w:val="333333"/>
                <w:sz w:val="20"/>
              </w:rPr>
              <w:t>if</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Firm</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i</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went</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bankrupt</w:t>
            </w:r>
            <w:r w:rsidRPr="00901B77">
              <w:rPr>
                <w:rFonts w:ascii="Segoe UI" w:eastAsia="Times New Roman" w:hAnsi="Segoe UI" w:cs="Segoe UI"/>
                <w:color w:val="333333"/>
                <w:sz w:val="20"/>
              </w:rPr>
              <w:t>Yi=1 if Firm i went bankrupt</w:t>
            </w:r>
          </w:p>
        </w:tc>
      </w:tr>
    </w:tbl>
    <w:p w:rsidR="00901B77" w:rsidRPr="00901B77" w:rsidRDefault="00901B77" w:rsidP="00901B77">
      <w:pPr>
        <w:spacing w:after="0" w:line="240" w:lineRule="auto"/>
        <w:rPr>
          <w:rFonts w:ascii="Times New Roman" w:eastAsia="Times New Roman" w:hAnsi="Times New Roman" w:cs="Times New Roman"/>
          <w:vanish/>
          <w:sz w:val="20"/>
        </w:rPr>
      </w:pPr>
    </w:p>
    <w:tbl>
      <w:tblPr>
        <w:tblW w:w="6429" w:type="dxa"/>
        <w:shd w:val="clear" w:color="auto" w:fill="FFFFFF"/>
        <w:tblCellMar>
          <w:top w:w="15" w:type="dxa"/>
          <w:left w:w="15" w:type="dxa"/>
          <w:bottom w:w="15" w:type="dxa"/>
          <w:right w:w="15" w:type="dxa"/>
        </w:tblCellMar>
        <w:tblLook w:val="04A0"/>
      </w:tblPr>
      <w:tblGrid>
        <w:gridCol w:w="7475"/>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within</w:t>
            </w:r>
            <w:r w:rsidRPr="00901B77">
              <w:rPr>
                <w:rFonts w:ascii="MathJax_Main" w:eastAsia="Times New Roman" w:hAnsi="MathJax_Main" w:cs="Segoe UI"/>
                <w:color w:val="333333"/>
                <w:sz w:val="20"/>
              </w:rPr>
              <w:t> 30 </w:t>
            </w:r>
            <w:r w:rsidRPr="00901B77">
              <w:rPr>
                <w:rFonts w:ascii="MathJax_Math-italic" w:eastAsia="Times New Roman" w:hAnsi="MathJax_Math-italic" w:cs="Segoe UI"/>
                <w:color w:val="333333"/>
                <w:sz w:val="20"/>
              </w:rPr>
              <w:t>days</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of</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publishing</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financial</w:t>
            </w:r>
            <w:r w:rsidRPr="00901B77">
              <w:rPr>
                <w:rFonts w:ascii="MathJax_Main" w:eastAsia="Times New Roman" w:hAnsi="MathJax_Main" w:cs="Segoe UI"/>
                <w:color w:val="333333"/>
                <w:sz w:val="20"/>
              </w:rPr>
              <w:t> </w:t>
            </w:r>
            <w:r w:rsidRPr="00901B77">
              <w:rPr>
                <w:rFonts w:ascii="MathJax_Math-italic" w:eastAsia="Times New Roman" w:hAnsi="MathJax_Math-italic" w:cs="Segoe UI"/>
                <w:color w:val="333333"/>
                <w:sz w:val="20"/>
              </w:rPr>
              <w:t>ratios</w:t>
            </w:r>
            <w:r w:rsidRPr="00901B77">
              <w:rPr>
                <w:rFonts w:ascii="Segoe UI" w:eastAsia="Times New Roman" w:hAnsi="Segoe UI" w:cs="Segoe UI"/>
                <w:color w:val="333333"/>
                <w:sz w:val="20"/>
              </w:rPr>
              <w:t>within 30 days of publishing financial ratios</w:t>
            </w:r>
          </w:p>
        </w:tc>
      </w:tr>
    </w:tbl>
    <w:p w:rsidR="00901B77" w:rsidRPr="00901B77" w:rsidRDefault="00901B77" w:rsidP="00901B77">
      <w:pPr>
        <w:shd w:val="clear" w:color="auto" w:fill="FFFFFF"/>
        <w:spacing w:after="0" w:line="240" w:lineRule="auto"/>
        <w:rPr>
          <w:rFonts w:ascii="Segoe UI" w:eastAsia="Times New Roman" w:hAnsi="Segoe UI" w:cs="Segoe UI"/>
          <w:color w:val="333333"/>
          <w:sz w:val="20"/>
        </w:rPr>
      </w:pPr>
      <w:r w:rsidRPr="00901B77">
        <w:rPr>
          <w:rFonts w:ascii="Segoe UI" w:eastAsia="Times New Roman" w:hAnsi="Segoe UI" w:cs="Segoe UI"/>
          <w:i/>
          <w:iCs/>
          <w:color w:val="333333"/>
          <w:sz w:val="20"/>
        </w:rPr>
        <w:t>else</w:t>
      </w:r>
    </w:p>
    <w:tbl>
      <w:tblPr>
        <w:tblW w:w="6429" w:type="dxa"/>
        <w:shd w:val="clear" w:color="auto" w:fill="FFFFFF"/>
        <w:tblCellMar>
          <w:top w:w="15" w:type="dxa"/>
          <w:left w:w="15" w:type="dxa"/>
          <w:bottom w:w="15" w:type="dxa"/>
          <w:right w:w="15" w:type="dxa"/>
        </w:tblCellMar>
        <w:tblLook w:val="04A0"/>
      </w:tblPr>
      <w:tblGrid>
        <w:gridCol w:w="6429"/>
      </w:tblGrid>
      <w:tr w:rsidR="00901B77" w:rsidRPr="00901B77" w:rsidTr="00901B77">
        <w:tc>
          <w:tcPr>
            <w:tcW w:w="0" w:type="auto"/>
            <w:shd w:val="clear" w:color="auto" w:fill="FFFFFF"/>
            <w:tcMar>
              <w:top w:w="26" w:type="dxa"/>
              <w:left w:w="69" w:type="dxa"/>
              <w:bottom w:w="26" w:type="dxa"/>
              <w:right w:w="69" w:type="dxa"/>
            </w:tcMar>
            <w:vAlign w:val="center"/>
            <w:hideMark/>
          </w:tcPr>
          <w:p w:rsidR="00901B77" w:rsidRPr="00901B77" w:rsidRDefault="00901B77" w:rsidP="00901B77">
            <w:pPr>
              <w:spacing w:after="0" w:line="214" w:lineRule="atLeast"/>
              <w:jc w:val="center"/>
              <w:rPr>
                <w:rFonts w:ascii="Segoe UI" w:eastAsia="Times New Roman" w:hAnsi="Segoe UI" w:cs="Segoe UI"/>
                <w:color w:val="333333"/>
                <w:sz w:val="20"/>
              </w:rPr>
            </w:pPr>
            <w:r w:rsidRPr="00901B77">
              <w:rPr>
                <w:rFonts w:ascii="MathJax_Math-italic" w:eastAsia="Times New Roman" w:hAnsi="MathJax_Math-italic" w:cs="Segoe UI"/>
                <w:color w:val="333333"/>
                <w:sz w:val="20"/>
              </w:rPr>
              <w:t>Yi</w:t>
            </w:r>
            <w:r w:rsidRPr="00901B77">
              <w:rPr>
                <w:rFonts w:ascii="MathJax_Main" w:eastAsia="Times New Roman" w:hAnsi="MathJax_Main" w:cs="Segoe UI"/>
                <w:color w:val="333333"/>
                <w:sz w:val="20"/>
              </w:rPr>
              <w:t>=0</w:t>
            </w:r>
            <w:r w:rsidRPr="00901B77">
              <w:rPr>
                <w:rFonts w:ascii="Segoe UI" w:eastAsia="Times New Roman" w:hAnsi="Segoe UI" w:cs="Segoe UI"/>
                <w:color w:val="333333"/>
                <w:sz w:val="20"/>
              </w:rPr>
              <w:t>Yi=0</w:t>
            </w:r>
          </w:p>
        </w:tc>
      </w:tr>
    </w:tbl>
    <w:p w:rsidR="00901B77" w:rsidRDefault="00901B77" w:rsidP="00901B77">
      <w:pPr>
        <w:shd w:val="clear" w:color="auto" w:fill="FFFFFF"/>
        <w:spacing w:after="0" w:line="240" w:lineRule="auto"/>
        <w:rPr>
          <w:rFonts w:ascii="Segoe UI" w:eastAsia="Times New Roman" w:hAnsi="Segoe UI" w:cs="Segoe UI"/>
          <w:color w:val="333333"/>
          <w:sz w:val="20"/>
        </w:rPr>
      </w:pPr>
      <w:r w:rsidRPr="00901B77">
        <w:rPr>
          <w:rFonts w:ascii="Segoe UI" w:eastAsia="Times New Roman" w:hAnsi="Segoe UI" w:cs="Segoe UI"/>
          <w:color w:val="333333"/>
          <w:sz w:val="20"/>
        </w:rPr>
        <w:t>Therefore, we trained 9 models to predict bankruptcies within 30, 90 and 180 days. For example, for predicting bankruptcy within 30 days we trained Random Forest, SVM and XGBoost. After training the models, we picked the best model based on performance metrics described in previous section and then we used the best model to predict the number of bankruptcies using the latest Q2 2020 financial ratios from Capital IQ. In this final prediction set, we only kept data for firms which did not have any significant gaps or holes. Finally, we used the final prediction set from Q2 2020 to predict the number of bankruptcies we expect to happen over the next 30, 90 and 180</w:t>
      </w:r>
      <w:r>
        <w:rPr>
          <w:rFonts w:ascii="Segoe UI" w:eastAsia="Times New Roman" w:hAnsi="Segoe UI" w:cs="Segoe UI"/>
          <w:color w:val="333333"/>
          <w:sz w:val="20"/>
        </w:rPr>
        <w:t xml:space="preserve"> days.</w:t>
      </w:r>
    </w:p>
    <w:p w:rsidR="0064282F" w:rsidRDefault="0064282F" w:rsidP="0064282F">
      <w:pPr>
        <w:pStyle w:val="Heading3"/>
        <w:pBdr>
          <w:bottom w:val="single" w:sz="4" w:space="5" w:color="D1D1D1"/>
        </w:pBdr>
        <w:shd w:val="clear" w:color="auto" w:fill="FFFFFF"/>
        <w:spacing w:before="86" w:beforeAutospacing="0" w:after="86" w:afterAutospacing="0" w:line="240" w:lineRule="atLeast"/>
        <w:rPr>
          <w:rStyle w:val="sec-title"/>
          <w:rFonts w:ascii="Segoe UI" w:hAnsi="Segoe UI" w:cs="Segoe UI"/>
          <w:color w:val="666666"/>
          <w:sz w:val="12"/>
          <w:szCs w:val="12"/>
          <w:shd w:val="clear" w:color="auto" w:fill="FFFFFF"/>
        </w:rPr>
      </w:pPr>
    </w:p>
    <w:p w:rsidR="0064282F" w:rsidRPr="0064282F" w:rsidRDefault="0064282F" w:rsidP="0064282F">
      <w:pPr>
        <w:pStyle w:val="Heading3"/>
        <w:pBdr>
          <w:bottom w:val="single" w:sz="4" w:space="5" w:color="D1D1D1"/>
        </w:pBdr>
        <w:shd w:val="clear" w:color="auto" w:fill="FFFFFF"/>
        <w:spacing w:before="86" w:beforeAutospacing="0" w:after="86" w:afterAutospacing="0" w:line="240" w:lineRule="atLeast"/>
        <w:rPr>
          <w:rFonts w:ascii="Segoe UI" w:hAnsi="Segoe UI" w:cs="Segoe UI"/>
          <w:color w:val="666666"/>
          <w:sz w:val="24"/>
          <w:szCs w:val="24"/>
        </w:rPr>
      </w:pPr>
      <w:r w:rsidRPr="0064282F">
        <w:rPr>
          <w:rStyle w:val="sec-title"/>
          <w:rFonts w:ascii="Segoe UI" w:hAnsi="Segoe UI" w:cs="Segoe UI"/>
          <w:color w:val="666666"/>
          <w:sz w:val="24"/>
          <w:szCs w:val="24"/>
          <w:shd w:val="clear" w:color="auto" w:fill="FFFFFF"/>
        </w:rPr>
        <w:t>4.   Results</w:t>
      </w:r>
    </w:p>
    <w:p w:rsidR="0064282F" w:rsidRPr="0064282F" w:rsidRDefault="0064282F" w:rsidP="0064282F">
      <w:pPr>
        <w:pStyle w:val="NormalWeb"/>
        <w:shd w:val="clear" w:color="auto" w:fill="FFFFFF"/>
        <w:spacing w:before="0" w:beforeAutospacing="0" w:after="0" w:afterAutospacing="0"/>
        <w:rPr>
          <w:rFonts w:ascii="Segoe UI" w:hAnsi="Segoe UI" w:cs="Segoe UI"/>
          <w:color w:val="000000" w:themeColor="text1"/>
          <w:sz w:val="20"/>
          <w:szCs w:val="20"/>
        </w:rPr>
      </w:pPr>
      <w:r w:rsidRPr="0064282F">
        <w:rPr>
          <w:rFonts w:ascii="Segoe UI" w:hAnsi="Segoe UI" w:cs="Segoe UI"/>
          <w:color w:val="000000" w:themeColor="text1"/>
          <w:sz w:val="20"/>
          <w:szCs w:val="20"/>
        </w:rPr>
        <w:t>As mentioned in the previous section, we trained 9 models, using three different techniques, RF, SVM, XGBoost, for predicting bankruptcies over 30, 90 and 180 days. Next, we used the test set to make predictions and then assessed the relative performance. Based on the chosen metrics of accuracy score and Area under ROC curve (ROC AUC), XGBoost outperformed the other models for predicting bankruptcy within 30, 90 and 180 days. The actual scores for accuracy and AUC are presented in </w:t>
      </w:r>
      <w:hyperlink r:id="rId31" w:anchor="Table3" w:history="1">
        <w:r w:rsidRPr="0064282F">
          <w:rPr>
            <w:rStyle w:val="Hyperlink"/>
            <w:rFonts w:ascii="Segoe UI" w:hAnsi="Segoe UI" w:cs="Segoe UI"/>
            <w:color w:val="000000" w:themeColor="text1"/>
            <w:sz w:val="20"/>
            <w:szCs w:val="20"/>
          </w:rPr>
          <w:t>Table 3</w:t>
        </w:r>
      </w:hyperlink>
      <w:r w:rsidRPr="0064282F">
        <w:rPr>
          <w:rFonts w:ascii="Segoe UI" w:hAnsi="Segoe UI" w:cs="Segoe UI"/>
          <w:color w:val="000000" w:themeColor="text1"/>
          <w:sz w:val="20"/>
          <w:szCs w:val="20"/>
        </w:rPr>
        <w:t>.</w:t>
      </w:r>
    </w:p>
    <w:p w:rsidR="0064282F" w:rsidRPr="00901B77" w:rsidRDefault="0064282F" w:rsidP="0064282F">
      <w:pPr>
        <w:shd w:val="clear" w:color="auto" w:fill="FFFFFF"/>
        <w:tabs>
          <w:tab w:val="left" w:pos="3934"/>
        </w:tabs>
        <w:spacing w:after="0" w:line="240" w:lineRule="auto"/>
        <w:rPr>
          <w:rFonts w:ascii="Segoe UI" w:eastAsia="Times New Roman" w:hAnsi="Segoe UI" w:cs="Segoe UI"/>
          <w:color w:val="000000" w:themeColor="text1"/>
          <w:sz w:val="20"/>
        </w:rPr>
      </w:pPr>
      <w:r w:rsidRPr="0064282F">
        <w:rPr>
          <w:rFonts w:ascii="Segoe UI" w:eastAsia="Times New Roman" w:hAnsi="Segoe UI" w:cs="Segoe UI"/>
          <w:color w:val="000000" w:themeColor="text1"/>
          <w:sz w:val="20"/>
        </w:rPr>
        <w:tab/>
      </w:r>
    </w:p>
    <w:p w:rsidR="0064282F" w:rsidRPr="0064282F" w:rsidRDefault="0064282F" w:rsidP="0064282F">
      <w:pPr>
        <w:shd w:val="clear" w:color="auto" w:fill="FFFFFF"/>
        <w:spacing w:after="0" w:line="240" w:lineRule="auto"/>
        <w:rPr>
          <w:rFonts w:ascii="Segoe UI" w:eastAsia="Times New Roman" w:hAnsi="Segoe UI" w:cs="Segoe UI"/>
          <w:color w:val="333333"/>
          <w:sz w:val="11"/>
          <w:szCs w:val="11"/>
        </w:rPr>
      </w:pPr>
      <w:r w:rsidRPr="0064282F">
        <w:rPr>
          <w:rFonts w:ascii="Segoe UI" w:eastAsia="Times New Roman" w:hAnsi="Segoe UI" w:cs="Segoe UI"/>
          <w:b/>
          <w:bCs/>
          <w:color w:val="333333"/>
          <w:sz w:val="24"/>
          <w:szCs w:val="24"/>
        </w:rPr>
        <w:t>Table 3</w:t>
      </w:r>
      <w:r w:rsidRPr="0064282F">
        <w:rPr>
          <w:rFonts w:ascii="Segoe UI" w:eastAsia="Times New Roman" w:hAnsi="Segoe UI" w:cs="Segoe UI"/>
          <w:b/>
          <w:bCs/>
          <w:color w:val="333333"/>
          <w:sz w:val="11"/>
        </w:rPr>
        <w:t>.</w:t>
      </w:r>
      <w:r w:rsidRPr="0064282F">
        <w:rPr>
          <w:rFonts w:ascii="Segoe UI" w:eastAsia="Times New Roman" w:hAnsi="Segoe UI" w:cs="Segoe UI"/>
          <w:color w:val="333333"/>
          <w:sz w:val="11"/>
        </w:rPr>
        <w:t> </w:t>
      </w:r>
      <w:r w:rsidRPr="0064282F">
        <w:rPr>
          <w:rFonts w:ascii="Segoe UI" w:eastAsia="Times New Roman" w:hAnsi="Segoe UI" w:cs="Segoe UI"/>
          <w:color w:val="333333"/>
          <w:sz w:val="11"/>
          <w:szCs w:val="11"/>
        </w:rPr>
        <w:t> </w:t>
      </w:r>
      <w:r w:rsidRPr="0064282F">
        <w:rPr>
          <w:rFonts w:ascii="Segoe UI" w:eastAsia="Times New Roman" w:hAnsi="Segoe UI" w:cs="Segoe UI"/>
          <w:color w:val="333333"/>
          <w:sz w:val="20"/>
        </w:rPr>
        <w:t>Accuracy and ROC AUC metrics</w:t>
      </w:r>
      <w:r w:rsidRPr="0064282F">
        <w:rPr>
          <w:rFonts w:ascii="Segoe UI" w:eastAsia="Times New Roman" w:hAnsi="Segoe UI" w:cs="Segoe UI"/>
          <w:color w:val="333333"/>
          <w:sz w:val="11"/>
          <w:szCs w:val="11"/>
        </w:rPr>
        <w:t>.</w:t>
      </w:r>
    </w:p>
    <w:tbl>
      <w:tblPr>
        <w:tblW w:w="6274" w:type="dxa"/>
        <w:jc w:val="center"/>
        <w:tblBorders>
          <w:bottom w:val="single" w:sz="4" w:space="0" w:color="auto"/>
        </w:tblBorders>
        <w:tblCellMar>
          <w:top w:w="15" w:type="dxa"/>
          <w:left w:w="15" w:type="dxa"/>
          <w:bottom w:w="15" w:type="dxa"/>
          <w:right w:w="15" w:type="dxa"/>
        </w:tblCellMar>
        <w:tblLook w:val="04A0"/>
      </w:tblPr>
      <w:tblGrid>
        <w:gridCol w:w="3738"/>
        <w:gridCol w:w="2511"/>
        <w:gridCol w:w="1058"/>
        <w:gridCol w:w="918"/>
      </w:tblGrid>
      <w:tr w:rsidR="0064282F" w:rsidRPr="0064282F" w:rsidTr="0064282F">
        <w:trPr>
          <w:tblHeader/>
          <w:jc w:val="center"/>
        </w:trPr>
        <w:tc>
          <w:tcPr>
            <w:tcW w:w="0" w:type="auto"/>
            <w:tcBorders>
              <w:top w:val="single" w:sz="4" w:space="0" w:color="000000"/>
            </w:tcBorders>
            <w:shd w:val="clear" w:color="auto" w:fill="auto"/>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Model</w:t>
            </w:r>
          </w:p>
        </w:tc>
        <w:tc>
          <w:tcPr>
            <w:tcW w:w="0" w:type="auto"/>
            <w:tcBorders>
              <w:top w:val="single" w:sz="4" w:space="0" w:color="000000"/>
            </w:tcBorders>
            <w:shd w:val="clear" w:color="auto" w:fill="auto"/>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Algorithm</w:t>
            </w:r>
          </w:p>
        </w:tc>
        <w:tc>
          <w:tcPr>
            <w:tcW w:w="0" w:type="auto"/>
            <w:tcBorders>
              <w:top w:val="single" w:sz="4" w:space="0" w:color="000000"/>
            </w:tcBorders>
            <w:shd w:val="clear" w:color="auto" w:fill="auto"/>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Accuracy Score</w:t>
            </w:r>
          </w:p>
        </w:tc>
        <w:tc>
          <w:tcPr>
            <w:tcW w:w="0" w:type="auto"/>
            <w:tcBorders>
              <w:top w:val="single" w:sz="4" w:space="0" w:color="000000"/>
            </w:tcBorders>
            <w:shd w:val="clear" w:color="auto" w:fill="auto"/>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ROC AUC</w:t>
            </w:r>
          </w:p>
        </w:tc>
      </w:tr>
      <w:tr w:rsidR="0064282F" w:rsidRPr="0064282F" w:rsidTr="0064282F">
        <w:trPr>
          <w:jc w:val="center"/>
        </w:trPr>
        <w:tc>
          <w:tcPr>
            <w:tcW w:w="0" w:type="auto"/>
            <w:tcBorders>
              <w:top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Predict Bankruptcies within 30 days</w:t>
            </w:r>
            <w:r w:rsidRPr="0064282F">
              <w:rPr>
                <w:rFonts w:ascii="Times New Roman" w:eastAsia="Times New Roman" w:hAnsi="Times New Roman" w:cs="Times New Roman"/>
                <w:sz w:val="24"/>
                <w:szCs w:val="24"/>
              </w:rPr>
              <w:br/>
            </w:r>
          </w:p>
        </w:tc>
        <w:tc>
          <w:tcPr>
            <w:tcW w:w="0" w:type="auto"/>
            <w:tcBorders>
              <w:top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Random Forest (RF)</w:t>
            </w:r>
          </w:p>
        </w:tc>
        <w:tc>
          <w:tcPr>
            <w:tcW w:w="0" w:type="auto"/>
            <w:tcBorders>
              <w:top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0.99676</w:t>
            </w:r>
          </w:p>
        </w:tc>
        <w:tc>
          <w:tcPr>
            <w:tcW w:w="0" w:type="auto"/>
            <w:tcBorders>
              <w:top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0.99981</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Support Vector Machine</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0.90933</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0.96673</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XGBoost</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0.99683</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0.99992</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Predict Bankruptcies within 90 days</w:t>
            </w:r>
            <w:r w:rsidRPr="0064282F">
              <w:rPr>
                <w:rFonts w:ascii="Times New Roman" w:eastAsia="Times New Roman" w:hAnsi="Times New Roman" w:cs="Times New Roman"/>
                <w:sz w:val="24"/>
                <w:szCs w:val="24"/>
              </w:rPr>
              <w:br/>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Random Forest (RF)</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0.98654</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0.99917</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Support Vector Machine</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0.83528</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0.90526</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XGBoost</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0.99047</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0.99933</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Predict Bankruptcies within 180 days</w:t>
            </w:r>
            <w:r w:rsidRPr="0064282F">
              <w:rPr>
                <w:rFonts w:ascii="Times New Roman" w:eastAsia="Times New Roman" w:hAnsi="Times New Roman" w:cs="Times New Roman"/>
                <w:sz w:val="24"/>
                <w:szCs w:val="24"/>
              </w:rPr>
              <w:br/>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Random Forest (RF)</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0.98580</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0.99896</w:t>
            </w:r>
          </w:p>
        </w:tc>
      </w:tr>
      <w:tr w:rsidR="0064282F" w:rsidRPr="0064282F" w:rsidTr="0064282F">
        <w:trPr>
          <w:jc w:val="center"/>
        </w:trPr>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Support Vector Machine</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0.82202</w:t>
            </w:r>
          </w:p>
        </w:tc>
        <w:tc>
          <w:tcPr>
            <w:tcW w:w="0" w:type="auto"/>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0.89590</w:t>
            </w:r>
          </w:p>
        </w:tc>
      </w:tr>
      <w:tr w:rsidR="0064282F" w:rsidRPr="0064282F" w:rsidTr="0064282F">
        <w:trPr>
          <w:jc w:val="center"/>
        </w:trPr>
        <w:tc>
          <w:tcPr>
            <w:tcW w:w="0" w:type="auto"/>
            <w:tcBorders>
              <w:bottom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p>
        </w:tc>
        <w:tc>
          <w:tcPr>
            <w:tcW w:w="0" w:type="auto"/>
            <w:tcBorders>
              <w:bottom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XGBoost</w:t>
            </w:r>
          </w:p>
        </w:tc>
        <w:tc>
          <w:tcPr>
            <w:tcW w:w="0" w:type="auto"/>
            <w:tcBorders>
              <w:bottom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0.98697</w:t>
            </w:r>
          </w:p>
        </w:tc>
        <w:tc>
          <w:tcPr>
            <w:tcW w:w="0" w:type="auto"/>
            <w:tcBorders>
              <w:bottom w:val="single" w:sz="4" w:space="0" w:color="000000"/>
            </w:tcBorders>
            <w:shd w:val="clear" w:color="auto" w:fill="auto"/>
            <w:noWrap/>
            <w:tcMar>
              <w:top w:w="26" w:type="dxa"/>
              <w:left w:w="69" w:type="dxa"/>
              <w:bottom w:w="26" w:type="dxa"/>
              <w:right w:w="69" w:type="dxa"/>
            </w:tcMar>
            <w:vAlign w:val="center"/>
            <w:hideMark/>
          </w:tcPr>
          <w:p w:rsidR="0064282F" w:rsidRPr="0064282F" w:rsidRDefault="0064282F" w:rsidP="0064282F">
            <w:pPr>
              <w:spacing w:after="0" w:line="214" w:lineRule="atLeast"/>
              <w:rPr>
                <w:rFonts w:ascii="Times New Roman" w:eastAsia="Times New Roman" w:hAnsi="Times New Roman" w:cs="Times New Roman"/>
                <w:sz w:val="24"/>
                <w:szCs w:val="24"/>
              </w:rPr>
            </w:pPr>
            <w:r w:rsidRPr="0064282F">
              <w:rPr>
                <w:rFonts w:ascii="Times New Roman" w:eastAsia="Times New Roman" w:hAnsi="Times New Roman" w:cs="Times New Roman"/>
                <w:sz w:val="24"/>
                <w:szCs w:val="24"/>
              </w:rPr>
              <w:t>0.99902</w:t>
            </w:r>
          </w:p>
        </w:tc>
      </w:tr>
    </w:tbl>
    <w:p w:rsidR="00901B77" w:rsidRPr="00901B77" w:rsidRDefault="00901B77" w:rsidP="00BC5FFA">
      <w:pPr>
        <w:pStyle w:val="NormalWeb"/>
        <w:shd w:val="clear" w:color="auto" w:fill="FFFFFF"/>
        <w:spacing w:before="0" w:beforeAutospacing="0" w:after="0" w:afterAutospacing="0"/>
        <w:rPr>
          <w:rFonts w:ascii="Segoe UI" w:hAnsi="Segoe UI" w:cs="Segoe UI"/>
          <w:color w:val="333333"/>
          <w:sz w:val="20"/>
          <w:szCs w:val="20"/>
        </w:rPr>
      </w:pPr>
    </w:p>
    <w:p w:rsidR="00BC5FFA" w:rsidRPr="00BC5FFA" w:rsidRDefault="00754FAA" w:rsidP="00BC5FFA">
      <w:pPr>
        <w:rPr>
          <w:color w:val="000000" w:themeColor="text1"/>
          <w:sz w:val="20"/>
        </w:rPr>
      </w:pPr>
      <w:r>
        <w:rPr>
          <w:noProof/>
        </w:rPr>
        <w:drawing>
          <wp:inline distT="0" distB="0" distL="0" distR="0">
            <wp:extent cx="5731510" cy="4135942"/>
            <wp:effectExtent l="19050" t="0" r="2540" b="0"/>
            <wp:docPr id="1" name="Picture 1" descr="https://www.aimspress.com/aimspress-data/dsfe/2021/2/PIC/DSFE-01-02-010-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imspress.com/aimspress-data/dsfe/2021/2/PIC/DSFE-01-02-010-g002.jpg"/>
                    <pic:cNvPicPr>
                      <a:picLocks noChangeAspect="1" noChangeArrowheads="1"/>
                    </pic:cNvPicPr>
                  </pic:nvPicPr>
                  <pic:blipFill>
                    <a:blip r:embed="rId32"/>
                    <a:srcRect/>
                    <a:stretch>
                      <a:fillRect/>
                    </a:stretch>
                  </pic:blipFill>
                  <pic:spPr bwMode="auto">
                    <a:xfrm>
                      <a:off x="0" y="0"/>
                      <a:ext cx="5731510" cy="4135942"/>
                    </a:xfrm>
                    <a:prstGeom prst="rect">
                      <a:avLst/>
                    </a:prstGeom>
                    <a:noFill/>
                    <a:ln w="9525">
                      <a:noFill/>
                      <a:miter lim="800000"/>
                      <a:headEnd/>
                      <a:tailEnd/>
                    </a:ln>
                  </pic:spPr>
                </pic:pic>
              </a:graphicData>
            </a:graphic>
          </wp:inline>
        </w:drawing>
      </w:r>
    </w:p>
    <w:p w:rsidR="00754FAA" w:rsidRPr="00754FAA" w:rsidRDefault="00754FAA" w:rsidP="00754FAA">
      <w:pPr>
        <w:pStyle w:val="Heading3"/>
        <w:pBdr>
          <w:bottom w:val="single" w:sz="4" w:space="5" w:color="D1D1D1"/>
        </w:pBdr>
        <w:shd w:val="clear" w:color="auto" w:fill="FFFFFF"/>
        <w:spacing w:before="86" w:beforeAutospacing="0" w:after="86" w:afterAutospacing="0" w:line="240" w:lineRule="atLeast"/>
        <w:rPr>
          <w:rFonts w:ascii="Segoe UI" w:hAnsi="Segoe UI" w:cs="Segoe UI"/>
          <w:color w:val="666666"/>
          <w:sz w:val="24"/>
          <w:szCs w:val="24"/>
        </w:rPr>
      </w:pPr>
      <w:r w:rsidRPr="00754FAA">
        <w:rPr>
          <w:rStyle w:val="sec-title"/>
          <w:rFonts w:ascii="Segoe UI" w:hAnsi="Segoe UI" w:cs="Segoe UI"/>
          <w:color w:val="666666"/>
          <w:sz w:val="24"/>
          <w:szCs w:val="24"/>
          <w:shd w:val="clear" w:color="auto" w:fill="FFFFFF"/>
        </w:rPr>
        <w:t>5.   Conclusions</w:t>
      </w:r>
    </w:p>
    <w:p w:rsidR="00754FAA" w:rsidRPr="00754FAA" w:rsidRDefault="00754FAA" w:rsidP="00754FAA">
      <w:pPr>
        <w:pStyle w:val="NormalWeb"/>
        <w:shd w:val="clear" w:color="auto" w:fill="FFFFFF"/>
        <w:spacing w:before="0" w:beforeAutospacing="0" w:after="0" w:afterAutospacing="0"/>
        <w:rPr>
          <w:rFonts w:ascii="Segoe UI" w:hAnsi="Segoe UI" w:cs="Segoe UI"/>
          <w:color w:val="333333"/>
          <w:sz w:val="20"/>
          <w:szCs w:val="20"/>
        </w:rPr>
      </w:pPr>
      <w:r w:rsidRPr="00754FAA">
        <w:rPr>
          <w:rFonts w:ascii="Segoe UI" w:hAnsi="Segoe UI" w:cs="Segoe UI"/>
          <w:color w:val="333333"/>
          <w:sz w:val="20"/>
          <w:szCs w:val="20"/>
        </w:rPr>
        <w:t>We find that two different Machine Learning algorithms, Random Forest (RF) and Extreme Gradient Boosting (XGBoost) produce accurate predictions of whether a firm will go bankrupt within the next 30, 90, or 180 days, using financial ratios as input features. The XGBoost based models perform exceptionally well, with 99% out-of-sample accuracy. Our training dataset uses a large database of public US firms over a period of 49 years, 1970–2019, and 57 financial ratios. This study has used a substantially larger training dataset as compared to previous studies.</w:t>
      </w:r>
    </w:p>
    <w:p w:rsidR="00754FAA" w:rsidRPr="00754FAA" w:rsidRDefault="00754FAA" w:rsidP="00754FAA">
      <w:pPr>
        <w:pStyle w:val="NormalWeb"/>
        <w:shd w:val="clear" w:color="auto" w:fill="FFFFFF"/>
        <w:spacing w:before="0" w:beforeAutospacing="0" w:after="0" w:afterAutospacing="0"/>
        <w:rPr>
          <w:rFonts w:ascii="Segoe UI" w:hAnsi="Segoe UI" w:cs="Segoe UI"/>
          <w:color w:val="333333"/>
          <w:sz w:val="20"/>
          <w:szCs w:val="20"/>
        </w:rPr>
      </w:pPr>
      <w:r w:rsidRPr="00754FAA">
        <w:rPr>
          <w:rFonts w:ascii="Segoe UI" w:hAnsi="Segoe UI" w:cs="Segoe UI"/>
          <w:color w:val="333333"/>
          <w:sz w:val="20"/>
          <w:szCs w:val="20"/>
        </w:rPr>
        <w:t>An application of our best performing XGBoost model to Q2-2020 financial data for a sample of both private and public U.S. firms shows that the bankruptcy rate will climb substantially higher in 2020 than in the expansion years of 2011–2019. However, our model suggests that the rate will be only marginally higher than in 2010.</w:t>
      </w:r>
    </w:p>
    <w:p w:rsidR="00BC5FFA" w:rsidRDefault="00BC5FFA" w:rsidP="00BC5FFA">
      <w:pPr>
        <w:pStyle w:val="NormalWeb"/>
        <w:shd w:val="clear" w:color="auto" w:fill="FFFFFF"/>
        <w:spacing w:before="0" w:beforeAutospacing="0" w:after="0" w:afterAutospacing="0"/>
        <w:rPr>
          <w:rFonts w:ascii="Segoe UI" w:hAnsi="Segoe UI" w:cs="Segoe UI"/>
          <w:color w:val="000000" w:themeColor="text1"/>
          <w:sz w:val="20"/>
          <w:szCs w:val="20"/>
        </w:rPr>
      </w:pPr>
    </w:p>
    <w:p w:rsidR="00754FAA" w:rsidRDefault="00754FAA" w:rsidP="00754FAA">
      <w:pPr>
        <w:pStyle w:val="Heading3"/>
        <w:shd w:val="clear" w:color="auto" w:fill="FFFFFF"/>
        <w:spacing w:before="129" w:beforeAutospacing="0" w:after="86" w:afterAutospacing="0"/>
        <w:rPr>
          <w:rFonts w:ascii="Segoe UI" w:hAnsi="Segoe UI" w:cs="Segoe UI"/>
          <w:color w:val="666666"/>
        </w:rPr>
      </w:pPr>
      <w:r>
        <w:rPr>
          <w:rFonts w:ascii="Segoe UI" w:hAnsi="Segoe UI" w:cs="Segoe UI"/>
          <w:color w:val="666666"/>
        </w:rPr>
        <w:t>References</w:t>
      </w:r>
    </w:p>
    <w:tbl>
      <w:tblPr>
        <w:tblW w:w="6429" w:type="dxa"/>
        <w:shd w:val="clear" w:color="auto" w:fill="FFFFFF"/>
        <w:tblCellMar>
          <w:top w:w="15" w:type="dxa"/>
          <w:left w:w="15" w:type="dxa"/>
          <w:bottom w:w="15" w:type="dxa"/>
          <w:right w:w="15" w:type="dxa"/>
        </w:tblCellMar>
        <w:tblLook w:val="04A0"/>
      </w:tblPr>
      <w:tblGrid>
        <w:gridCol w:w="229"/>
        <w:gridCol w:w="6200"/>
      </w:tblGrid>
      <w:tr w:rsidR="00754FAA" w:rsidRPr="00754FAA" w:rsidTr="00754FAA">
        <w:tc>
          <w:tcPr>
            <w:tcW w:w="0" w:type="auto"/>
            <w:shd w:val="clear" w:color="auto" w:fill="FFFFFF"/>
            <w:tcMar>
              <w:top w:w="26" w:type="dxa"/>
              <w:left w:w="0" w:type="dxa"/>
              <w:bottom w:w="26" w:type="dxa"/>
              <w:right w:w="0" w:type="dxa"/>
            </w:tcMa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[1]</w:t>
            </w:r>
          </w:p>
        </w:tc>
        <w:tc>
          <w:tcPr>
            <w:tcW w:w="0" w:type="auto"/>
            <w:shd w:val="clear" w:color="auto" w:fill="FFFFFF"/>
            <w:tcMar>
              <w:top w:w="26" w:type="dxa"/>
              <w:left w:w="43" w:type="dxa"/>
              <w:bottom w:w="129" w:type="dxa"/>
              <w:right w:w="69" w:type="dxa"/>
            </w:tcMar>
            <w:vAlign w:val="cente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Altman EI (1968) The Prediction of Corporate Bankruptcy: A Discriminant Analysis. </w:t>
            </w:r>
            <w:r w:rsidRPr="00754FAA">
              <w:rPr>
                <w:rFonts w:ascii="Segoe UI" w:eastAsia="Times New Roman" w:hAnsi="Segoe UI" w:cs="Segoe UI"/>
                <w:i/>
                <w:iCs/>
                <w:color w:val="000000" w:themeColor="text1"/>
                <w:sz w:val="20"/>
              </w:rPr>
              <w:t>J Financ</w:t>
            </w:r>
            <w:r w:rsidRPr="00754FAA">
              <w:rPr>
                <w:rFonts w:ascii="Segoe UI" w:eastAsia="Times New Roman" w:hAnsi="Segoe UI" w:cs="Segoe UI"/>
                <w:color w:val="000000" w:themeColor="text1"/>
                <w:sz w:val="20"/>
              </w:rPr>
              <w:t> 23: 193-194.</w:t>
            </w:r>
          </w:p>
        </w:tc>
      </w:tr>
      <w:tr w:rsidR="00754FAA" w:rsidRPr="00754FAA" w:rsidTr="00754FAA">
        <w:tc>
          <w:tcPr>
            <w:tcW w:w="0" w:type="auto"/>
            <w:shd w:val="clear" w:color="auto" w:fill="FFFFFF"/>
            <w:tcMar>
              <w:top w:w="26" w:type="dxa"/>
              <w:left w:w="0" w:type="dxa"/>
              <w:bottom w:w="26" w:type="dxa"/>
              <w:right w:w="0" w:type="dxa"/>
            </w:tcMa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[2]</w:t>
            </w:r>
          </w:p>
        </w:tc>
        <w:tc>
          <w:tcPr>
            <w:tcW w:w="0" w:type="auto"/>
            <w:shd w:val="clear" w:color="auto" w:fill="FFFFFF"/>
            <w:tcMar>
              <w:top w:w="26" w:type="dxa"/>
              <w:left w:w="43" w:type="dxa"/>
              <w:bottom w:w="129" w:type="dxa"/>
              <w:right w:w="69" w:type="dxa"/>
            </w:tcMar>
            <w:vAlign w:val="cente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Barboza F, Kimura H, Altman E (2017) Machine learning models and bankruptcy prediction. </w:t>
            </w:r>
            <w:r w:rsidRPr="00754FAA">
              <w:rPr>
                <w:rFonts w:ascii="Segoe UI" w:eastAsia="Times New Roman" w:hAnsi="Segoe UI" w:cs="Segoe UI"/>
                <w:i/>
                <w:iCs/>
                <w:color w:val="000000" w:themeColor="text1"/>
                <w:sz w:val="20"/>
              </w:rPr>
              <w:t>Expert Syst Appl</w:t>
            </w:r>
            <w:r w:rsidRPr="00754FAA">
              <w:rPr>
                <w:rFonts w:ascii="Segoe UI" w:eastAsia="Times New Roman" w:hAnsi="Segoe UI" w:cs="Segoe UI"/>
                <w:color w:val="000000" w:themeColor="text1"/>
                <w:sz w:val="20"/>
              </w:rPr>
              <w:t> 83: 405-417. doi: </w:t>
            </w:r>
            <w:hyperlink r:id="rId33" w:tgtFrame="_blank" w:history="1">
              <w:r w:rsidRPr="00754FAA">
                <w:rPr>
                  <w:rFonts w:ascii="Segoe UI" w:eastAsia="Times New Roman" w:hAnsi="Segoe UI" w:cs="Segoe UI"/>
                  <w:color w:val="000000" w:themeColor="text1"/>
                  <w:sz w:val="20"/>
                </w:rPr>
                <w:t>10.1016/j.eswa.2017.04.006</w:t>
              </w:r>
            </w:hyperlink>
            <w:r w:rsidRPr="00754FAA">
              <w:rPr>
                <w:rFonts w:ascii="Segoe UI" w:eastAsia="Times New Roman" w:hAnsi="Segoe UI" w:cs="Segoe UI"/>
                <w:color w:val="000000" w:themeColor="text1"/>
                <w:sz w:val="20"/>
              </w:rPr>
              <w:t> </w:t>
            </w:r>
          </w:p>
        </w:tc>
      </w:tr>
      <w:tr w:rsidR="00754FAA" w:rsidRPr="00754FAA" w:rsidTr="00754FAA">
        <w:tc>
          <w:tcPr>
            <w:tcW w:w="0" w:type="auto"/>
            <w:shd w:val="clear" w:color="auto" w:fill="FFFFFF"/>
            <w:tcMar>
              <w:top w:w="26" w:type="dxa"/>
              <w:left w:w="0" w:type="dxa"/>
              <w:bottom w:w="26" w:type="dxa"/>
              <w:right w:w="0" w:type="dxa"/>
            </w:tcMa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lastRenderedPageBreak/>
              <w:t>[3]</w:t>
            </w:r>
          </w:p>
        </w:tc>
        <w:tc>
          <w:tcPr>
            <w:tcW w:w="0" w:type="auto"/>
            <w:shd w:val="clear" w:color="auto" w:fill="FFFFFF"/>
            <w:tcMar>
              <w:top w:w="26" w:type="dxa"/>
              <w:left w:w="43" w:type="dxa"/>
              <w:bottom w:w="129" w:type="dxa"/>
              <w:right w:w="69" w:type="dxa"/>
            </w:tcMar>
            <w:vAlign w:val="cente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Beaver WH (1966) Financial Ratios As Predictors of Failure. </w:t>
            </w:r>
            <w:r w:rsidRPr="00754FAA">
              <w:rPr>
                <w:rFonts w:ascii="Segoe UI" w:eastAsia="Times New Roman" w:hAnsi="Segoe UI" w:cs="Segoe UI"/>
                <w:i/>
                <w:iCs/>
                <w:color w:val="000000" w:themeColor="text1"/>
                <w:sz w:val="20"/>
              </w:rPr>
              <w:t>J Account Res</w:t>
            </w:r>
            <w:r w:rsidRPr="00754FAA">
              <w:rPr>
                <w:rFonts w:ascii="Segoe UI" w:eastAsia="Times New Roman" w:hAnsi="Segoe UI" w:cs="Segoe UI"/>
                <w:color w:val="000000" w:themeColor="text1"/>
                <w:sz w:val="20"/>
              </w:rPr>
              <w:t> 4: 71-111. doi: </w:t>
            </w:r>
            <w:hyperlink r:id="rId34" w:tgtFrame="_blank" w:history="1">
              <w:r w:rsidRPr="00754FAA">
                <w:rPr>
                  <w:rFonts w:ascii="Segoe UI" w:eastAsia="Times New Roman" w:hAnsi="Segoe UI" w:cs="Segoe UI"/>
                  <w:color w:val="000000" w:themeColor="text1"/>
                  <w:sz w:val="20"/>
                </w:rPr>
                <w:t>10.2307/2490171</w:t>
              </w:r>
            </w:hyperlink>
            <w:r w:rsidRPr="00754FAA">
              <w:rPr>
                <w:rFonts w:ascii="Segoe UI" w:eastAsia="Times New Roman" w:hAnsi="Segoe UI" w:cs="Segoe UI"/>
                <w:color w:val="000000" w:themeColor="text1"/>
                <w:sz w:val="20"/>
              </w:rPr>
              <w:t> </w:t>
            </w:r>
          </w:p>
        </w:tc>
      </w:tr>
      <w:tr w:rsidR="00754FAA" w:rsidRPr="00754FAA" w:rsidTr="00754FAA">
        <w:tc>
          <w:tcPr>
            <w:tcW w:w="0" w:type="auto"/>
            <w:shd w:val="clear" w:color="auto" w:fill="FFFFFF"/>
            <w:tcMar>
              <w:top w:w="26" w:type="dxa"/>
              <w:left w:w="0" w:type="dxa"/>
              <w:bottom w:w="26" w:type="dxa"/>
              <w:right w:w="0" w:type="dxa"/>
            </w:tcMa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[4]</w:t>
            </w:r>
          </w:p>
        </w:tc>
        <w:tc>
          <w:tcPr>
            <w:tcW w:w="0" w:type="auto"/>
            <w:shd w:val="clear" w:color="auto" w:fill="FFFFFF"/>
            <w:tcMar>
              <w:top w:w="26" w:type="dxa"/>
              <w:left w:w="43" w:type="dxa"/>
              <w:bottom w:w="129" w:type="dxa"/>
              <w:right w:w="69" w:type="dxa"/>
            </w:tcMar>
            <w:vAlign w:val="cente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Bellovary JL, Giacomino DE, Akers MD (2007) A Review of Bankruptcy Prediction Studies: 1930 to Present. </w:t>
            </w:r>
            <w:r w:rsidRPr="00754FAA">
              <w:rPr>
                <w:rFonts w:ascii="Segoe UI" w:eastAsia="Times New Roman" w:hAnsi="Segoe UI" w:cs="Segoe UI"/>
                <w:i/>
                <w:iCs/>
                <w:color w:val="000000" w:themeColor="text1"/>
                <w:sz w:val="20"/>
              </w:rPr>
              <w:t>J Financ Educ</w:t>
            </w:r>
            <w:r w:rsidRPr="00754FAA">
              <w:rPr>
                <w:rFonts w:ascii="Segoe UI" w:eastAsia="Times New Roman" w:hAnsi="Segoe UI" w:cs="Segoe UI"/>
                <w:color w:val="000000" w:themeColor="text1"/>
                <w:sz w:val="20"/>
              </w:rPr>
              <w:t> 33: 1-42.</w:t>
            </w:r>
          </w:p>
        </w:tc>
      </w:tr>
      <w:tr w:rsidR="00754FAA" w:rsidRPr="00754FAA" w:rsidTr="00754FAA">
        <w:tc>
          <w:tcPr>
            <w:tcW w:w="0" w:type="auto"/>
            <w:shd w:val="clear" w:color="auto" w:fill="FFFFFF"/>
            <w:tcMar>
              <w:top w:w="26" w:type="dxa"/>
              <w:left w:w="0" w:type="dxa"/>
              <w:bottom w:w="26" w:type="dxa"/>
              <w:right w:w="0" w:type="dxa"/>
            </w:tcMa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[5]</w:t>
            </w:r>
          </w:p>
        </w:tc>
        <w:tc>
          <w:tcPr>
            <w:tcW w:w="0" w:type="auto"/>
            <w:shd w:val="clear" w:color="auto" w:fill="FFFFFF"/>
            <w:tcMar>
              <w:top w:w="26" w:type="dxa"/>
              <w:left w:w="43" w:type="dxa"/>
              <w:bottom w:w="129" w:type="dxa"/>
              <w:right w:w="69" w:type="dxa"/>
            </w:tcMar>
            <w:vAlign w:val="center"/>
            <w:hideMark/>
          </w:tcPr>
          <w:p w:rsidR="00754FAA" w:rsidRPr="00754FAA" w:rsidRDefault="00754FAA" w:rsidP="00754FAA">
            <w:pPr>
              <w:spacing w:after="0" w:line="171" w:lineRule="atLeast"/>
              <w:rPr>
                <w:rFonts w:ascii="Segoe UI" w:eastAsia="Times New Roman" w:hAnsi="Segoe UI" w:cs="Segoe UI"/>
                <w:color w:val="000000" w:themeColor="text1"/>
                <w:sz w:val="20"/>
              </w:rPr>
            </w:pPr>
            <w:r w:rsidRPr="00754FAA">
              <w:rPr>
                <w:rFonts w:ascii="Segoe UI" w:eastAsia="Times New Roman" w:hAnsi="Segoe UI" w:cs="Segoe UI"/>
                <w:color w:val="000000" w:themeColor="text1"/>
                <w:sz w:val="20"/>
              </w:rPr>
              <w:t>Beretta L, Santaniello A (2016) Nearest neighbor imputation algorithms: a critical evaluation. </w:t>
            </w:r>
            <w:r w:rsidRPr="00754FAA">
              <w:rPr>
                <w:rFonts w:ascii="Segoe UI" w:eastAsia="Times New Roman" w:hAnsi="Segoe UI" w:cs="Segoe UI"/>
                <w:i/>
                <w:iCs/>
                <w:color w:val="000000" w:themeColor="text1"/>
                <w:sz w:val="20"/>
              </w:rPr>
              <w:t>BMC Med Inf Decis Making</w:t>
            </w:r>
            <w:r w:rsidRPr="00754FAA">
              <w:rPr>
                <w:rFonts w:ascii="Segoe UI" w:eastAsia="Times New Roman" w:hAnsi="Segoe UI" w:cs="Segoe UI"/>
                <w:color w:val="000000" w:themeColor="text1"/>
                <w:sz w:val="20"/>
              </w:rPr>
              <w:t> 16: 197-208.</w:t>
            </w:r>
          </w:p>
        </w:tc>
      </w:tr>
    </w:tbl>
    <w:p w:rsidR="00754FAA" w:rsidRPr="00754FAA" w:rsidRDefault="00754FAA" w:rsidP="00BC5FFA">
      <w:pPr>
        <w:pStyle w:val="NormalWeb"/>
        <w:shd w:val="clear" w:color="auto" w:fill="FFFFFF"/>
        <w:spacing w:before="0" w:beforeAutospacing="0" w:after="0" w:afterAutospacing="0"/>
        <w:rPr>
          <w:rFonts w:ascii="Segoe UI" w:hAnsi="Segoe UI" w:cs="Segoe UI"/>
          <w:color w:val="000000" w:themeColor="text1"/>
          <w:sz w:val="20"/>
          <w:szCs w:val="20"/>
        </w:rPr>
      </w:pPr>
    </w:p>
    <w:p w:rsidR="00000000" w:rsidRDefault="004E21EE" w:rsidP="00BC5FFA">
      <w:pPr>
        <w:jc w:val="center"/>
        <w:rPr>
          <w:sz w:val="20"/>
        </w:rPr>
      </w:pPr>
    </w:p>
    <w:p w:rsidR="00BC5FFA" w:rsidRDefault="00BC5FFA" w:rsidP="00BC5FFA">
      <w:pPr>
        <w:jc w:val="center"/>
        <w:rPr>
          <w:sz w:val="20"/>
        </w:rPr>
      </w:pPr>
    </w:p>
    <w:p w:rsidR="00BC5FFA" w:rsidRPr="008D3E80" w:rsidRDefault="00BC5FFA" w:rsidP="00BC5FFA">
      <w:pPr>
        <w:jc w:val="center"/>
        <w:rPr>
          <w:sz w:val="20"/>
        </w:rPr>
      </w:pPr>
    </w:p>
    <w:sectPr w:rsidR="00BC5FFA" w:rsidRPr="008D3E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D3E80"/>
    <w:rsid w:val="004E21EE"/>
    <w:rsid w:val="0064282F"/>
    <w:rsid w:val="006F6FF8"/>
    <w:rsid w:val="00754FAA"/>
    <w:rsid w:val="008D3E80"/>
    <w:rsid w:val="00901B77"/>
    <w:rsid w:val="00AD2C48"/>
    <w:rsid w:val="00BC5FFA"/>
    <w:rsid w:val="00C2671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3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2C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C5F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3E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3E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tle">
    <w:name w:val="sec-title"/>
    <w:basedOn w:val="DefaultParagraphFont"/>
    <w:rsid w:val="00AD2C48"/>
  </w:style>
  <w:style w:type="character" w:customStyle="1" w:styleId="Heading4Char">
    <w:name w:val="Heading 4 Char"/>
    <w:basedOn w:val="DefaultParagraphFont"/>
    <w:link w:val="Heading4"/>
    <w:uiPriority w:val="9"/>
    <w:semiHidden/>
    <w:rsid w:val="00AD2C48"/>
    <w:rPr>
      <w:rFonts w:asciiTheme="majorHAnsi" w:eastAsiaTheme="majorEastAsia" w:hAnsiTheme="majorHAnsi" w:cstheme="majorBidi"/>
      <w:b/>
      <w:bCs/>
      <w:i/>
      <w:iCs/>
      <w:color w:val="4F81BD" w:themeColor="accent1"/>
    </w:rPr>
  </w:style>
  <w:style w:type="character" w:customStyle="1" w:styleId="xref">
    <w:name w:val="xref"/>
    <w:basedOn w:val="DefaultParagraphFont"/>
    <w:rsid w:val="00AD2C48"/>
  </w:style>
  <w:style w:type="character" w:styleId="Hyperlink">
    <w:name w:val="Hyperlink"/>
    <w:basedOn w:val="DefaultParagraphFont"/>
    <w:uiPriority w:val="99"/>
    <w:semiHidden/>
    <w:unhideWhenUsed/>
    <w:rsid w:val="00AD2C48"/>
    <w:rPr>
      <w:color w:val="0000FF"/>
      <w:u w:val="single"/>
    </w:rPr>
  </w:style>
  <w:style w:type="character" w:customStyle="1" w:styleId="Heading5Char">
    <w:name w:val="Heading 5 Char"/>
    <w:basedOn w:val="DefaultParagraphFont"/>
    <w:link w:val="Heading5"/>
    <w:uiPriority w:val="9"/>
    <w:semiHidden/>
    <w:rsid w:val="00BC5FFA"/>
    <w:rPr>
      <w:rFonts w:asciiTheme="majorHAnsi" w:eastAsiaTheme="majorEastAsia" w:hAnsiTheme="majorHAnsi" w:cstheme="majorBidi"/>
      <w:color w:val="243F60" w:themeColor="accent1" w:themeShade="7F"/>
    </w:rPr>
  </w:style>
  <w:style w:type="character" w:customStyle="1" w:styleId="mi">
    <w:name w:val="mi"/>
    <w:basedOn w:val="DefaultParagraphFont"/>
    <w:rsid w:val="00901B77"/>
  </w:style>
  <w:style w:type="character" w:customStyle="1" w:styleId="mo">
    <w:name w:val="mo"/>
    <w:basedOn w:val="DefaultParagraphFont"/>
    <w:rsid w:val="00901B77"/>
  </w:style>
  <w:style w:type="character" w:customStyle="1" w:styleId="mtext">
    <w:name w:val="mtext"/>
    <w:basedOn w:val="DefaultParagraphFont"/>
    <w:rsid w:val="00901B77"/>
  </w:style>
  <w:style w:type="character" w:customStyle="1" w:styleId="mjxassistivemathml">
    <w:name w:val="mjx_assistive_mathml"/>
    <w:basedOn w:val="DefaultParagraphFont"/>
    <w:rsid w:val="00901B77"/>
  </w:style>
  <w:style w:type="character" w:customStyle="1" w:styleId="mn">
    <w:name w:val="mn"/>
    <w:basedOn w:val="DefaultParagraphFont"/>
    <w:rsid w:val="00901B77"/>
  </w:style>
  <w:style w:type="character" w:customStyle="1" w:styleId="figtext">
    <w:name w:val="figtext"/>
    <w:basedOn w:val="DefaultParagraphFont"/>
    <w:rsid w:val="0064282F"/>
  </w:style>
  <w:style w:type="paragraph" w:styleId="BalloonText">
    <w:name w:val="Balloon Text"/>
    <w:basedOn w:val="Normal"/>
    <w:link w:val="BalloonTextChar"/>
    <w:uiPriority w:val="99"/>
    <w:semiHidden/>
    <w:unhideWhenUsed/>
    <w:rsid w:val="00754FA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54FA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9452868">
      <w:bodyDiv w:val="1"/>
      <w:marLeft w:val="0"/>
      <w:marRight w:val="0"/>
      <w:marTop w:val="0"/>
      <w:marBottom w:val="0"/>
      <w:divBdr>
        <w:top w:val="none" w:sz="0" w:space="0" w:color="auto"/>
        <w:left w:val="none" w:sz="0" w:space="0" w:color="auto"/>
        <w:bottom w:val="none" w:sz="0" w:space="0" w:color="auto"/>
        <w:right w:val="none" w:sz="0" w:space="0" w:color="auto"/>
      </w:divBdr>
    </w:div>
    <w:div w:id="95098969">
      <w:bodyDiv w:val="1"/>
      <w:marLeft w:val="0"/>
      <w:marRight w:val="0"/>
      <w:marTop w:val="0"/>
      <w:marBottom w:val="0"/>
      <w:divBdr>
        <w:top w:val="none" w:sz="0" w:space="0" w:color="auto"/>
        <w:left w:val="none" w:sz="0" w:space="0" w:color="auto"/>
        <w:bottom w:val="none" w:sz="0" w:space="0" w:color="auto"/>
        <w:right w:val="none" w:sz="0" w:space="0" w:color="auto"/>
      </w:divBdr>
    </w:div>
    <w:div w:id="503591219">
      <w:bodyDiv w:val="1"/>
      <w:marLeft w:val="0"/>
      <w:marRight w:val="0"/>
      <w:marTop w:val="0"/>
      <w:marBottom w:val="0"/>
      <w:divBdr>
        <w:top w:val="none" w:sz="0" w:space="0" w:color="auto"/>
        <w:left w:val="none" w:sz="0" w:space="0" w:color="auto"/>
        <w:bottom w:val="none" w:sz="0" w:space="0" w:color="auto"/>
        <w:right w:val="none" w:sz="0" w:space="0" w:color="auto"/>
      </w:divBdr>
    </w:div>
    <w:div w:id="664240091">
      <w:bodyDiv w:val="1"/>
      <w:marLeft w:val="0"/>
      <w:marRight w:val="0"/>
      <w:marTop w:val="0"/>
      <w:marBottom w:val="0"/>
      <w:divBdr>
        <w:top w:val="none" w:sz="0" w:space="0" w:color="auto"/>
        <w:left w:val="none" w:sz="0" w:space="0" w:color="auto"/>
        <w:bottom w:val="none" w:sz="0" w:space="0" w:color="auto"/>
        <w:right w:val="none" w:sz="0" w:space="0" w:color="auto"/>
      </w:divBdr>
    </w:div>
    <w:div w:id="933050446">
      <w:bodyDiv w:val="1"/>
      <w:marLeft w:val="0"/>
      <w:marRight w:val="0"/>
      <w:marTop w:val="0"/>
      <w:marBottom w:val="0"/>
      <w:divBdr>
        <w:top w:val="none" w:sz="0" w:space="0" w:color="auto"/>
        <w:left w:val="none" w:sz="0" w:space="0" w:color="auto"/>
        <w:bottom w:val="none" w:sz="0" w:space="0" w:color="auto"/>
        <w:right w:val="none" w:sz="0" w:space="0" w:color="auto"/>
      </w:divBdr>
    </w:div>
    <w:div w:id="1125080294">
      <w:bodyDiv w:val="1"/>
      <w:marLeft w:val="0"/>
      <w:marRight w:val="0"/>
      <w:marTop w:val="0"/>
      <w:marBottom w:val="0"/>
      <w:divBdr>
        <w:top w:val="none" w:sz="0" w:space="0" w:color="auto"/>
        <w:left w:val="none" w:sz="0" w:space="0" w:color="auto"/>
        <w:bottom w:val="none" w:sz="0" w:space="0" w:color="auto"/>
        <w:right w:val="none" w:sz="0" w:space="0" w:color="auto"/>
      </w:divBdr>
    </w:div>
    <w:div w:id="1185632614">
      <w:bodyDiv w:val="1"/>
      <w:marLeft w:val="0"/>
      <w:marRight w:val="0"/>
      <w:marTop w:val="0"/>
      <w:marBottom w:val="0"/>
      <w:divBdr>
        <w:top w:val="none" w:sz="0" w:space="0" w:color="auto"/>
        <w:left w:val="none" w:sz="0" w:space="0" w:color="auto"/>
        <w:bottom w:val="none" w:sz="0" w:space="0" w:color="auto"/>
        <w:right w:val="none" w:sz="0" w:space="0" w:color="auto"/>
      </w:divBdr>
    </w:div>
    <w:div w:id="1279531424">
      <w:bodyDiv w:val="1"/>
      <w:marLeft w:val="0"/>
      <w:marRight w:val="0"/>
      <w:marTop w:val="0"/>
      <w:marBottom w:val="0"/>
      <w:divBdr>
        <w:top w:val="none" w:sz="0" w:space="0" w:color="auto"/>
        <w:left w:val="none" w:sz="0" w:space="0" w:color="auto"/>
        <w:bottom w:val="none" w:sz="0" w:space="0" w:color="auto"/>
        <w:right w:val="none" w:sz="0" w:space="0" w:color="auto"/>
      </w:divBdr>
    </w:div>
    <w:div w:id="1281254978">
      <w:bodyDiv w:val="1"/>
      <w:marLeft w:val="0"/>
      <w:marRight w:val="0"/>
      <w:marTop w:val="0"/>
      <w:marBottom w:val="0"/>
      <w:divBdr>
        <w:top w:val="none" w:sz="0" w:space="0" w:color="auto"/>
        <w:left w:val="none" w:sz="0" w:space="0" w:color="auto"/>
        <w:bottom w:val="none" w:sz="0" w:space="0" w:color="auto"/>
        <w:right w:val="none" w:sz="0" w:space="0" w:color="auto"/>
      </w:divBdr>
    </w:div>
    <w:div w:id="1327050000">
      <w:bodyDiv w:val="1"/>
      <w:marLeft w:val="0"/>
      <w:marRight w:val="0"/>
      <w:marTop w:val="0"/>
      <w:marBottom w:val="0"/>
      <w:divBdr>
        <w:top w:val="none" w:sz="0" w:space="0" w:color="auto"/>
        <w:left w:val="none" w:sz="0" w:space="0" w:color="auto"/>
        <w:bottom w:val="none" w:sz="0" w:space="0" w:color="auto"/>
        <w:right w:val="none" w:sz="0" w:space="0" w:color="auto"/>
      </w:divBdr>
    </w:div>
    <w:div w:id="1582180290">
      <w:bodyDiv w:val="1"/>
      <w:marLeft w:val="0"/>
      <w:marRight w:val="0"/>
      <w:marTop w:val="0"/>
      <w:marBottom w:val="0"/>
      <w:divBdr>
        <w:top w:val="none" w:sz="0" w:space="0" w:color="auto"/>
        <w:left w:val="none" w:sz="0" w:space="0" w:color="auto"/>
        <w:bottom w:val="none" w:sz="0" w:space="0" w:color="auto"/>
        <w:right w:val="none" w:sz="0" w:space="0" w:color="auto"/>
      </w:divBdr>
    </w:div>
    <w:div w:id="1624846394">
      <w:bodyDiv w:val="1"/>
      <w:marLeft w:val="0"/>
      <w:marRight w:val="0"/>
      <w:marTop w:val="0"/>
      <w:marBottom w:val="0"/>
      <w:divBdr>
        <w:top w:val="none" w:sz="0" w:space="0" w:color="auto"/>
        <w:left w:val="none" w:sz="0" w:space="0" w:color="auto"/>
        <w:bottom w:val="none" w:sz="0" w:space="0" w:color="auto"/>
        <w:right w:val="none" w:sz="0" w:space="0" w:color="auto"/>
      </w:divBdr>
    </w:div>
    <w:div w:id="1766993595">
      <w:bodyDiv w:val="1"/>
      <w:marLeft w:val="0"/>
      <w:marRight w:val="0"/>
      <w:marTop w:val="0"/>
      <w:marBottom w:val="0"/>
      <w:divBdr>
        <w:top w:val="none" w:sz="0" w:space="0" w:color="auto"/>
        <w:left w:val="none" w:sz="0" w:space="0" w:color="auto"/>
        <w:bottom w:val="none" w:sz="0" w:space="0" w:color="auto"/>
        <w:right w:val="none" w:sz="0" w:space="0" w:color="auto"/>
      </w:divBdr>
      <w:divsChild>
        <w:div w:id="330253099">
          <w:marLeft w:val="0"/>
          <w:marRight w:val="0"/>
          <w:marTop w:val="0"/>
          <w:marBottom w:val="0"/>
          <w:divBdr>
            <w:top w:val="none" w:sz="0" w:space="0" w:color="auto"/>
            <w:left w:val="none" w:sz="0" w:space="0" w:color="auto"/>
            <w:bottom w:val="none" w:sz="0" w:space="0" w:color="auto"/>
            <w:right w:val="none" w:sz="0" w:space="0" w:color="auto"/>
          </w:divBdr>
        </w:div>
      </w:divsChild>
    </w:div>
    <w:div w:id="1890650684">
      <w:bodyDiv w:val="1"/>
      <w:marLeft w:val="0"/>
      <w:marRight w:val="0"/>
      <w:marTop w:val="0"/>
      <w:marBottom w:val="0"/>
      <w:divBdr>
        <w:top w:val="none" w:sz="0" w:space="0" w:color="auto"/>
        <w:left w:val="none" w:sz="0" w:space="0" w:color="auto"/>
        <w:bottom w:val="none" w:sz="0" w:space="0" w:color="auto"/>
        <w:right w:val="none" w:sz="0" w:space="0" w:color="auto"/>
      </w:divBdr>
      <w:divsChild>
        <w:div w:id="892230568">
          <w:marLeft w:val="0"/>
          <w:marRight w:val="0"/>
          <w:marTop w:val="0"/>
          <w:marBottom w:val="0"/>
          <w:divBdr>
            <w:top w:val="none" w:sz="0" w:space="0" w:color="auto"/>
            <w:left w:val="none" w:sz="0" w:space="0" w:color="auto"/>
            <w:bottom w:val="none" w:sz="0" w:space="0" w:color="auto"/>
            <w:right w:val="none" w:sz="0" w:space="0" w:color="auto"/>
          </w:divBdr>
        </w:div>
      </w:divsChild>
    </w:div>
    <w:div w:id="209728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imspress.com/article/doi/10.3934/DSFE.2021010?viewType=HTML" TargetMode="External"/><Relationship Id="rId13" Type="http://schemas.openxmlformats.org/officeDocument/2006/relationships/hyperlink" Target="https://www.aimspress.com/article/doi/10.3934/DSFE.2021010?viewType=HTML" TargetMode="External"/><Relationship Id="rId18" Type="http://schemas.openxmlformats.org/officeDocument/2006/relationships/hyperlink" Target="https://www.aimspress.com/article/doi/10.3934/DSFE.2021010?viewType=HTML" TargetMode="External"/><Relationship Id="rId26" Type="http://schemas.openxmlformats.org/officeDocument/2006/relationships/hyperlink" Target="https://www.aimspress.com/article/doi/10.3934/DSFE.2021010?viewType=HTML" TargetMode="External"/><Relationship Id="rId3" Type="http://schemas.openxmlformats.org/officeDocument/2006/relationships/webSettings" Target="webSettings.xml"/><Relationship Id="rId21" Type="http://schemas.openxmlformats.org/officeDocument/2006/relationships/hyperlink" Target="https://www.aimspress.com/article/doi/10.3934/DSFE.2021010?viewType=HTML" TargetMode="External"/><Relationship Id="rId34" Type="http://schemas.openxmlformats.org/officeDocument/2006/relationships/hyperlink" Target="https://doi.org/10.2307/2490171" TargetMode="External"/><Relationship Id="rId7" Type="http://schemas.openxmlformats.org/officeDocument/2006/relationships/hyperlink" Target="https://www.aimspress.com/article/doi/10.3934/DSFE.2021010?viewType=HTML" TargetMode="External"/><Relationship Id="rId12" Type="http://schemas.openxmlformats.org/officeDocument/2006/relationships/hyperlink" Target="https://www.aimspress.com/article/doi/10.3934/DSFE.2021010?viewType=HTML" TargetMode="External"/><Relationship Id="rId17" Type="http://schemas.openxmlformats.org/officeDocument/2006/relationships/hyperlink" Target="https://www.aimspress.com/article/doi/10.3934/DSFE.2021010?viewType=HTML" TargetMode="External"/><Relationship Id="rId25" Type="http://schemas.openxmlformats.org/officeDocument/2006/relationships/hyperlink" Target="https://www.aimspress.com/article/doi/10.3934/DSFE.2021010?viewType=HTML" TargetMode="External"/><Relationship Id="rId33" Type="http://schemas.openxmlformats.org/officeDocument/2006/relationships/hyperlink" Target="https://doi.org/10.1016/j.eswa.2017.04.006" TargetMode="External"/><Relationship Id="rId2" Type="http://schemas.openxmlformats.org/officeDocument/2006/relationships/settings" Target="settings.xml"/><Relationship Id="rId16" Type="http://schemas.openxmlformats.org/officeDocument/2006/relationships/hyperlink" Target="https://www.aimspress.com/article/doi/10.3934/DSFE.2021010?viewType=HTML" TargetMode="External"/><Relationship Id="rId20" Type="http://schemas.openxmlformats.org/officeDocument/2006/relationships/hyperlink" Target="https://www.aimspress.com/article/doi/10.3934/DSFE.2021010?viewType=HTML" TargetMode="External"/><Relationship Id="rId29" Type="http://schemas.openxmlformats.org/officeDocument/2006/relationships/hyperlink" Target="https://www.aimspress.com/article/doi/10.3934/DSFE.2021010?viewType=HTML" TargetMode="External"/><Relationship Id="rId1" Type="http://schemas.openxmlformats.org/officeDocument/2006/relationships/styles" Target="styles.xml"/><Relationship Id="rId6" Type="http://schemas.openxmlformats.org/officeDocument/2006/relationships/hyperlink" Target="https://www.aimspress.com/article/doi/10.3934/DSFE.2021010?viewType=HTML" TargetMode="External"/><Relationship Id="rId11" Type="http://schemas.openxmlformats.org/officeDocument/2006/relationships/hyperlink" Target="https://www.aimspress.com/article/doi/10.3934/DSFE.2021010?viewType=HTML" TargetMode="External"/><Relationship Id="rId24" Type="http://schemas.openxmlformats.org/officeDocument/2006/relationships/image" Target="media/image1.jpeg"/><Relationship Id="rId32" Type="http://schemas.openxmlformats.org/officeDocument/2006/relationships/image" Target="media/image2.jpeg"/><Relationship Id="rId5" Type="http://schemas.openxmlformats.org/officeDocument/2006/relationships/hyperlink" Target="https://www.aimspress.com/article/doi/10.3934/DSFE.2021010?viewType=HTML" TargetMode="External"/><Relationship Id="rId15" Type="http://schemas.openxmlformats.org/officeDocument/2006/relationships/hyperlink" Target="https://www.aimspress.com/article/doi/10.3934/DSFE.2021010?viewType=HTML" TargetMode="External"/><Relationship Id="rId23" Type="http://schemas.openxmlformats.org/officeDocument/2006/relationships/hyperlink" Target="https://www.aimspress.com/article/doi/10.3934/DSFE.2021010?viewType=HTML" TargetMode="External"/><Relationship Id="rId28" Type="http://schemas.openxmlformats.org/officeDocument/2006/relationships/hyperlink" Target="https://www.aimspress.com/article/doi/10.3934/DSFE.2021010?viewType=HTML" TargetMode="External"/><Relationship Id="rId36" Type="http://schemas.openxmlformats.org/officeDocument/2006/relationships/theme" Target="theme/theme1.xml"/><Relationship Id="rId10" Type="http://schemas.openxmlformats.org/officeDocument/2006/relationships/hyperlink" Target="https://www.aimspress.com/article/doi/10.3934/DSFE.2021010?viewType=HTML" TargetMode="External"/><Relationship Id="rId19" Type="http://schemas.openxmlformats.org/officeDocument/2006/relationships/hyperlink" Target="https://www.aimspress.com/article/doi/10.3934/DSFE.2021010?viewType=HTML" TargetMode="External"/><Relationship Id="rId31" Type="http://schemas.openxmlformats.org/officeDocument/2006/relationships/hyperlink" Target="https://www.aimspress.com/article/doi/10.3934/DSFE.2021010?viewType=HTML" TargetMode="External"/><Relationship Id="rId4" Type="http://schemas.openxmlformats.org/officeDocument/2006/relationships/hyperlink" Target="https://www.aimspress.com/article/doi/10.3934/DSFE.2021010?viewType=HTML" TargetMode="External"/><Relationship Id="rId9" Type="http://schemas.openxmlformats.org/officeDocument/2006/relationships/hyperlink" Target="https://www.aimspress.com/article/doi/10.3934/DSFE.2021010?viewType=HTML" TargetMode="External"/><Relationship Id="rId14" Type="http://schemas.openxmlformats.org/officeDocument/2006/relationships/hyperlink" Target="https://www.aimspress.com/article/doi/10.3934/DSFE.2021010?viewType=HTML" TargetMode="External"/><Relationship Id="rId22" Type="http://schemas.openxmlformats.org/officeDocument/2006/relationships/hyperlink" Target="https://www.aimspress.com/article/doi/10.3934/DSFE.2021010?viewType=HTML" TargetMode="External"/><Relationship Id="rId27" Type="http://schemas.openxmlformats.org/officeDocument/2006/relationships/hyperlink" Target="https://www.aimspress.com/article/doi/10.3934/DSFE.2021010?viewType=HTML" TargetMode="External"/><Relationship Id="rId30" Type="http://schemas.openxmlformats.org/officeDocument/2006/relationships/hyperlink" Target="https://www.aimspress.com/article/doi/10.3934/DSFE.2021010?viewType=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Waldia</dc:creator>
  <cp:keywords/>
  <dc:description/>
  <cp:lastModifiedBy>Rahul Waldia</cp:lastModifiedBy>
  <cp:revision>9</cp:revision>
  <dcterms:created xsi:type="dcterms:W3CDTF">2022-03-20T01:47:00Z</dcterms:created>
  <dcterms:modified xsi:type="dcterms:W3CDTF">2022-03-20T02:06:00Z</dcterms:modified>
</cp:coreProperties>
</file>