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b/>
          <w:bCs/>
          <w:color w:val="0D3320"/>
          <w:sz w:val="48"/>
          <w:szCs w:val="48"/>
        </w:rPr>
        <w:t xml:space="preserve">CashRoom Compliance System</w:t>
      </w:r>
    </w:p>
    <w:p>
      <w:pPr>
        <w:spacing w:before="60" w:after="0"/>
      </w:pPr>
      <w:r>
        <w:rPr>
          <w:rFonts w:ascii="Arial" w:cs="Arial" w:eastAsia="Arial" w:hAnsi="Arial"/>
          <w:color w:val="1F6138"/>
          <w:sz w:val="36"/>
          <w:szCs w:val="36"/>
        </w:rPr>
        <w:t xml:space="preserve">Phase 2 — Cash Reasonableness Test</w:t>
      </w:r>
    </w:p>
    <w:p>
      <w:pPr>
        <w:spacing w:before="60" w:after="0"/>
      </w:pPr>
      <w:r>
        <w:rPr>
          <w:rFonts w:ascii="Arial" w:cs="Arial" w:eastAsia="Arial" w:hAnsi="Arial"/>
          <w:color w:val="7A7A72"/>
          <w:sz w:val="26"/>
          <w:szCs w:val="26"/>
        </w:rPr>
        <w:t xml:space="preserve">Cashier’s Fund Reasonableness Report</w:t>
      </w:r>
    </w:p>
    <w:p>
      <w:pPr>
        <w:spacing w:before="40" w:after="0"/>
      </w:pPr>
    </w:p>
    <w:p>
      <w:pPr>
        <w:pBdr>
          <w:bottom w:val="single" w:color="52B06E" w:sz="8" w:space="2"/>
        </w:pBdr>
        <w:spacing w:before="0" w:after="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4BFB5" w:sz="1"/>
              <w:left w:val="single" w:color="C4BFB5" w:sz="1"/>
              <w:bottom w:val="single" w:color="C4BFB5" w:sz="1"/>
              <w:right w:val="single" w:color="C4BFB5" w:sz="1"/>
            </w:tcBorders>
            <w:shd w:fill="D6F0DC"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Document Type</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Process &amp; Requirements Specification</w:t>
            </w:r>
          </w:p>
        </w:tc>
      </w:tr>
      <w:tr>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Version</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2.0 — Phase 2 Addition</w:t>
            </w:r>
          </w:p>
        </w:tc>
      </w:tr>
      <w:tr>
        <w:tc>
          <w:tcPr>
            <w:tcW w:type="dxa" w:w="2200"/>
            <w:tcBorders>
              <w:top w:val="single" w:color="C4BFB5" w:sz="1"/>
              <w:left w:val="single" w:color="C4BFB5" w:sz="1"/>
              <w:bottom w:val="single" w:color="C4BFB5" w:sz="1"/>
              <w:right w:val="single" w:color="C4BFB5" w:sz="1"/>
            </w:tcBorders>
            <w:shd w:fill="D6F0DC"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Date</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March 2026</w:t>
            </w:r>
          </w:p>
        </w:tc>
      </w:tr>
      <w:tr>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Prepared By</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Pankhuri Gupta (Delivery Lead)</w:t>
            </w:r>
          </w:p>
        </w:tc>
      </w:tr>
      <w:tr>
        <w:tc>
          <w:tcPr>
            <w:tcW w:type="dxa" w:w="2200"/>
            <w:tcBorders>
              <w:top w:val="single" w:color="C4BFB5" w:sz="1"/>
              <w:left w:val="single" w:color="C4BFB5" w:sz="1"/>
              <w:bottom w:val="single" w:color="C4BFB5" w:sz="1"/>
              <w:right w:val="single" w:color="C4BFB5" w:sz="1"/>
            </w:tcBorders>
            <w:shd w:fill="D6F0DC"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Reviewed By</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Shivani Gupta, Jamie Spoor</w:t>
            </w:r>
          </w:p>
        </w:tc>
      </w:tr>
      <w:tr>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Client</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Canteen Vending Services</w:t>
            </w:r>
          </w:p>
        </w:tc>
      </w:tr>
      <w:tr>
        <w:tc>
          <w:tcPr>
            <w:tcW w:type="dxa" w:w="2200"/>
            <w:tcBorders>
              <w:top w:val="single" w:color="C4BFB5" w:sz="1"/>
              <w:left w:val="single" w:color="C4BFB5" w:sz="1"/>
              <w:bottom w:val="single" w:color="C4BFB5" w:sz="1"/>
              <w:right w:val="single" w:color="C4BFB5" w:sz="1"/>
            </w:tcBorders>
            <w:shd w:fill="D6F0DC"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Source</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Phase 2 Requirements Discussion — Meeting Transcript, March 12, 2026</w:t>
            </w:r>
          </w:p>
        </w:tc>
      </w:tr>
    </w:tbl>
    <w:p>
      <w:pPr>
        <w:spacing w:before="200" w:after="80"/>
      </w:pPr>
    </w:p>
    <w:p>
      <w:r>
        <w:br w:type="page"/>
      </w:r>
    </w:p>
    <w:p>
      <w:pPr>
        <w:pStyle w:val="Heading1"/>
        <w:spacing w:before="400" w:after="160"/>
      </w:pPr>
      <w:r>
        <w:rPr>
          <w:rFonts w:ascii="Arial" w:cs="Arial" w:eastAsia="Arial" w:hAnsi="Arial"/>
          <w:b/>
          <w:bCs/>
          <w:color w:val="0D3320"/>
          <w:sz w:val="34"/>
          <w:szCs w:val="34"/>
        </w:rPr>
        <w:t xml:space="preserve">1. Business Purpose &amp; Background</w:t>
      </w:r>
    </w:p>
    <w:p>
      <w:pPr>
        <w:spacing w:before="60" w:after="100" w:line="276" w:lineRule="auto"/>
      </w:pPr>
      <w:r>
        <w:rPr>
          <w:rFonts w:ascii="Arial" w:cs="Arial" w:eastAsia="Arial" w:hAnsi="Arial"/>
          <w:sz w:val="22"/>
          <w:szCs w:val="22"/>
        </w:rPr>
        <w:t xml:space="preserve">The Cash Reasonableness Test is a quarterly compliance control performed for each active cash room location within Canteen Vending Services. It answers a single, critical question: does the cash room hold an appropriate amount of fund relative to its actual operational usage?</w:t>
      </w:r>
    </w:p>
    <w:p>
      <w:pPr>
        <w:spacing w:before="80" w:after="80"/>
      </w:pPr>
    </w:p>
    <w:p>
      <w:pPr>
        <w:spacing w:before="60" w:after="100" w:line="276" w:lineRule="auto"/>
      </w:pPr>
      <w:r>
        <w:rPr>
          <w:rFonts w:ascii="Arial" w:cs="Arial" w:eastAsia="Arial" w:hAnsi="Arial"/>
          <w:sz w:val="22"/>
          <w:szCs w:val="22"/>
        </w:rPr>
        <w:t xml:space="preserve">Cash rooms are mini-banks inside each branch building where drivers bring back cash collected from machines. All collections are counted daily and deposited to the bank. Each cash room is maintained with an "imprest fund" — a fixed standing balance used for daily operations such as making change, issuing driver bags, and replenishing coin.</w:t>
      </w:r>
    </w:p>
    <w:p>
      <w:pPr>
        <w:spacing w:before="80" w:after="80"/>
      </w:pPr>
    </w:p>
    <w:p>
      <w:pPr>
        <w:spacing w:before="60" w:after="100" w:line="276" w:lineRule="auto"/>
      </w:pPr>
      <w:r>
        <w:rPr>
          <w:rFonts w:ascii="Arial" w:cs="Arial" w:eastAsia="Arial" w:hAnsi="Arial"/>
          <w:b/>
          <w:bCs/>
          <w:sz w:val="22"/>
          <w:szCs w:val="22"/>
        </w:rPr>
        <w:t xml:space="preserve">The risk: </w:t>
      </w:r>
      <w:r>
        <w:rPr>
          <w:rFonts w:ascii="Arial" w:cs="Arial" w:eastAsia="Arial" w:hAnsi="Arial"/>
          <w:sz w:val="22"/>
          <w:szCs w:val="22"/>
        </w:rPr>
        <w:t xml:space="preserve">If a cash room holds far more cash than it operationally needs, it represents unnecessary security and insurance risk to the business. The test ensures every location holds only as much as its highest usage period demands, plus a reasonable safety buffer.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left w:val="none"/>
              <w:bottom w:val="none"/>
              <w:right w:val="none"/>
            </w:tcBorders>
            <w:shd w:fill="1F61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 From the Meeting Transcript (Shivani Gupta, March 12, 2026)</w:t>
            </w:r>
          </w:p>
        </w:tc>
      </w:tr>
      <w:tr>
        <w:tc>
          <w:tcPr>
            <w:tcBorders>
              <w:top w:val="none"/>
              <w:left w:val="none"/>
              <w:bottom w:val="none"/>
              <w:right w:val="none"/>
            </w:tcBorders>
            <w:shd w:fill="D6F0DC"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"We have cash rooms in our buildings where all the money is counted every day and sent to the bank. What we are trying to do is minimise risk and see how much money does the cash room really need to keep."</w:t>
            </w:r>
          </w:p>
          <w:p>
            <w:pPr>
              <w:spacing w:before="60" w:after="100" w:line="276" w:lineRule="auto"/>
            </w:pPr>
            <w:r>
              <w:rPr>
                <w:rFonts w:ascii="Arial" w:cs="Arial" w:eastAsia="Arial" w:hAnsi="Arial"/>
                <w:sz w:val="22"/>
                <w:szCs w:val="22"/>
              </w:rPr>
              <w:t xml:space="preserve">"The test basically looks at the highest usage over the two months and says — OK, this is the max you’ve used. You really don’t need this much money. You should deposit some."</w:t>
            </w:r>
          </w:p>
          <w:p>
            <w:pPr>
              <w:spacing w:before="60" w:after="100" w:line="276" w:lineRule="auto"/>
            </w:pPr>
            <w:r>
              <w:rPr>
                <w:rFonts w:ascii="Arial" w:cs="Arial" w:eastAsia="Arial" w:hAnsi="Arial"/>
                <w:sz w:val="22"/>
                <w:szCs w:val="22"/>
              </w:rPr>
              <w:t xml:space="preserve">"If they have too much money in the building, it’s just a risk. So we’re trying to mitigate that and telling them: deposit the extra money, don’t keep it."</w:t>
            </w:r>
          </w:p>
        </w:tc>
      </w:tr>
    </w:tbl>
    <w:p>
      <w:pPr>
        <w:spacing w:before="120" w:after="80"/>
      </w:pPr>
    </w:p>
    <w:p>
      <w:pPr>
        <w:pStyle w:val="Heading2"/>
        <w:spacing w:before="300" w:after="120"/>
      </w:pPr>
      <w:r>
        <w:rPr>
          <w:rFonts w:ascii="Arial" w:cs="Arial" w:eastAsia="Arial" w:hAnsi="Arial"/>
          <w:b/>
          <w:bCs/>
          <w:color w:val="1F6138"/>
          <w:sz w:val="28"/>
          <w:szCs w:val="28"/>
        </w:rPr>
        <w:t xml:space="preserve">1.1 Frequency</w:t>
      </w:r>
    </w:p>
    <w:p>
      <w:pPr>
        <w:spacing w:before="60" w:after="100" w:line="276" w:lineRule="auto"/>
      </w:pPr>
      <w:r>
        <w:rPr>
          <w:rFonts w:ascii="Arial" w:cs="Arial" w:eastAsia="Arial" w:hAnsi="Arial"/>
          <w:sz w:val="22"/>
          <w:szCs w:val="22"/>
        </w:rPr>
        <w:t xml:space="preserve">The test is conducted once per quarter. Controllers receive an email notification indicating the test is due. There is no fixed date within the quarter — the controller may complete it at any time before the quarter deadline. The test covers a custom date range selected by the controller, typically spanning the two most recent fiscal periods (months) within the quarter.</w:t>
      </w:r>
    </w:p>
    <w:p>
      <w:pPr>
        <w:spacing w:before="80" w:after="80"/>
      </w:pPr>
    </w:p>
    <w:p>
      <w:pPr>
        <w:spacing w:before="60" w:after="100" w:line="276" w:lineRule="auto"/>
      </w:pPr>
      <w:r>
        <w:rPr>
          <w:rFonts w:ascii="Arial" w:cs="Arial" w:eastAsia="Arial" w:hAnsi="Arial"/>
          <w:b/>
          <w:bCs/>
          <w:sz w:val="22"/>
          <w:szCs w:val="22"/>
        </w:rPr>
        <w:t xml:space="preserve">Key decision (from meeting): </w:t>
      </w:r>
      <w:r>
        <w:rPr>
          <w:rFonts w:ascii="Arial" w:cs="Arial" w:eastAsia="Arial" w:hAnsi="Arial"/>
          <w:sz w:val="22"/>
          <w:szCs w:val="22"/>
        </w:rPr>
        <w:t xml:space="preserve">The test is intentionally not automated end-to-end. While all underlying data is already in the system, controllers must actively go in, select the date range, choose the factor, review the output, add conclusion notes, and confirm. This active participation is by design to ensure oversight.</w:t>
      </w:r>
    </w:p>
    <w:p>
      <w:pPr>
        <w:spacing w:before="80" w:after="80"/>
      </w:pPr>
    </w:p>
    <w:p>
      <w:r>
        <w:br w:type="page"/>
      </w:r>
    </w:p>
    <w:p>
      <w:pPr>
        <w:pStyle w:val="Heading1"/>
        <w:spacing w:before="400" w:after="160"/>
      </w:pPr>
      <w:r>
        <w:rPr>
          <w:rFonts w:ascii="Arial" w:cs="Arial" w:eastAsia="Arial" w:hAnsi="Arial"/>
          <w:b/>
          <w:bCs/>
          <w:color w:val="0D3320"/>
          <w:sz w:val="34"/>
          <w:szCs w:val="34"/>
        </w:rPr>
        <w:t xml:space="preserve">2. Fiscal Year &amp; Period Reference</w:t>
      </w:r>
    </w:p>
    <w:p>
      <w:pPr>
        <w:spacing w:before="60" w:after="100" w:line="276" w:lineRule="auto"/>
      </w:pPr>
      <w:r>
        <w:rPr>
          <w:rFonts w:ascii="Arial" w:cs="Arial" w:eastAsia="Arial" w:hAnsi="Arial"/>
          <w:sz w:val="22"/>
          <w:szCs w:val="22"/>
        </w:rPr>
        <w:t xml:space="preserve">Canteen Vending Services operates on a fiscal year running from October 1 to September 30. Periods are numbered P1 through P12 starting from October. Quarters are Q1 through Q4.</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Fiscal Period</w:t>
            </w:r>
          </w:p>
        </w:tc>
        <w:tc>
          <w:tcPr>
            <w:tcW w:type="dxa" w:w="312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Calendar Month</w:t>
            </w:r>
          </w:p>
        </w:tc>
        <w:tc>
          <w:tcPr>
            <w:tcW w:type="dxa" w:w="312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Quarter</w:t>
            </w:r>
          </w:p>
        </w:tc>
      </w:tr>
      <w:tr>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P1</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October</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Q1 (Oct–Dec)</w:t>
            </w:r>
          </w:p>
        </w:tc>
      </w:tr>
      <w:tr>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P2</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November</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Q1 (Oct–Dec)</w:t>
            </w:r>
          </w:p>
        </w:tc>
      </w:tr>
      <w:tr>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P3</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December</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Q1 (Oct–Dec)</w:t>
            </w:r>
          </w:p>
        </w:tc>
      </w:tr>
      <w:tr>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P4</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January</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Q2 (Jan–Mar)</w:t>
            </w:r>
          </w:p>
        </w:tc>
      </w:tr>
      <w:tr>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P5</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February</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Q2 (Jan–Mar)</w:t>
            </w:r>
          </w:p>
        </w:tc>
      </w:tr>
      <w:tr>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P6</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March</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Q2 (Jan–Mar)</w:t>
            </w:r>
          </w:p>
        </w:tc>
      </w:tr>
      <w:tr>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P7</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April</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Q3 (Apr–Jun)</w:t>
            </w:r>
          </w:p>
        </w:tc>
      </w:tr>
      <w:tr>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P8</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May</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Q3 (Apr–Jun)</w:t>
            </w:r>
          </w:p>
        </w:tc>
      </w:tr>
      <w:tr>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P9</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June</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Q3 (Apr–Jun)</w:t>
            </w:r>
          </w:p>
        </w:tc>
      </w:tr>
      <w:tr>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P10</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July</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Q4 (Jul–Sep)</w:t>
            </w:r>
          </w:p>
        </w:tc>
      </w:tr>
      <w:tr>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P11</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August</w:t>
            </w:r>
          </w:p>
        </w:tc>
        <w:tc>
          <w:tcPr>
            <w:tcW w:type="dxa" w:w="312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Q4 (Jul–Sep)</w:t>
            </w:r>
          </w:p>
        </w:tc>
      </w:tr>
      <w:tr>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P12</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September</w:t>
            </w:r>
          </w:p>
        </w:tc>
        <w:tc>
          <w:tcPr>
            <w:tcW w:type="dxa" w:w="312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Q4 (Jul–Sep)</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left w:val="none"/>
              <w:bottom w:val="none"/>
              <w:right w:val="none"/>
            </w:tcBorders>
            <w:shd w:fill="2563E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 Confirmed in Meeting (Shivani Gupta)</w:t>
            </w:r>
          </w:p>
        </w:tc>
      </w:tr>
      <w:tr>
        <w:tc>
          <w:tcPr>
            <w:tcBorders>
              <w:top w:val="none"/>
              <w:left w:val="none"/>
              <w:bottom w:val="none"/>
              <w:right w:val="none"/>
            </w:tcBorders>
            <w:shd w:fill="EFF6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"Our fiscal year runs from October 1st to September 30th. October is month one or period one, November is P2, December is P3, January is P4. That’s how we run."</w:t>
            </w:r>
          </w:p>
          <w:p>
            <w:pPr>
              <w:spacing w:before="60" w:after="100" w:line="276" w:lineRule="auto"/>
            </w:pPr>
            <w:r>
              <w:rPr>
                <w:rFonts w:ascii="Arial" w:cs="Arial" w:eastAsia="Arial" w:hAnsi="Arial"/>
                <w:sz w:val="22"/>
                <w:szCs w:val="22"/>
              </w:rPr>
              <w:t xml:space="preserve">"So P4 is basically the calendar month of January for us. And our quarters run: October, November, December is Q1; January, February, March is Q2 for us."</w:t>
            </w:r>
          </w:p>
        </w:tc>
      </w:tr>
    </w:tbl>
    <w:p>
      <w:pPr>
        <w:spacing w:before="80" w:after="80"/>
      </w:pPr>
    </w:p>
    <w:p>
      <w:pPr>
        <w:spacing w:before="60" w:after="100" w:line="276" w:lineRule="auto"/>
      </w:pPr>
      <w:r>
        <w:rPr>
          <w:rFonts w:ascii="Arial" w:cs="Arial" w:eastAsia="Arial" w:hAnsi="Arial"/>
          <w:b/>
          <w:bCs/>
          <w:sz w:val="22"/>
          <w:szCs w:val="22"/>
        </w:rPr>
        <w:t xml:space="preserve">Example: </w:t>
      </w:r>
      <w:r>
        <w:rPr>
          <w:rFonts w:ascii="Arial" w:cs="Arial" w:eastAsia="Arial" w:hAnsi="Arial"/>
          <w:sz w:val="22"/>
          <w:szCs w:val="22"/>
        </w:rPr>
        <w:t xml:space="preserve">The second quarter (Q2) covers P4 (January), P5 (February), and P6 (March). A controller running the test for Q2 would select a date range of January 1 – March 31 (or a sub-range such as Jan 1 – Feb 28 if the quarter is not yet complete).</w:t>
      </w:r>
    </w:p>
    <w:p>
      <w:pPr>
        <w:spacing w:before="80" w:after="80"/>
      </w:pPr>
    </w:p>
    <w:p>
      <w:r>
        <w:br w:type="page"/>
      </w:r>
    </w:p>
    <w:p>
      <w:pPr>
        <w:pStyle w:val="Heading1"/>
        <w:spacing w:before="400" w:after="160"/>
      </w:pPr>
      <w:r>
        <w:rPr>
          <w:rFonts w:ascii="Arial" w:cs="Arial" w:eastAsia="Arial" w:hAnsi="Arial"/>
          <w:b/>
          <w:bCs/>
          <w:color w:val="0D3320"/>
          <w:sz w:val="34"/>
          <w:szCs w:val="34"/>
        </w:rPr>
        <w:t xml:space="preserve">3. Scope &amp; Location Structure</w:t>
      </w:r>
    </w:p>
    <w:p>
      <w:pPr>
        <w:spacing w:before="60" w:after="100" w:line="276" w:lineRule="auto"/>
      </w:pPr>
      <w:r>
        <w:rPr>
          <w:rFonts w:ascii="Arial" w:cs="Arial" w:eastAsia="Arial" w:hAnsi="Arial"/>
          <w:sz w:val="22"/>
          <w:szCs w:val="22"/>
        </w:rPr>
        <w:t xml:space="preserve">The test is generated per location (cash room). Some branches operate two or more cash rooms that share the same cost center (operation number). These are grouped for reporting purposes.</w:t>
      </w:r>
    </w:p>
    <w:p>
      <w:pPr>
        <w:spacing w:before="80" w:after="80"/>
      </w:pPr>
    </w:p>
    <w:p>
      <w:pPr>
        <w:pStyle w:val="Heading2"/>
        <w:spacing w:before="300" w:after="120"/>
      </w:pPr>
      <w:r>
        <w:rPr>
          <w:rFonts w:ascii="Arial" w:cs="Arial" w:eastAsia="Arial" w:hAnsi="Arial"/>
          <w:b/>
          <w:bCs/>
          <w:color w:val="1F6138"/>
          <w:sz w:val="28"/>
          <w:szCs w:val="28"/>
        </w:rPr>
        <w:t xml:space="preserve">3.1 Current Active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34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Location / Cash Room</w:t>
            </w:r>
          </w:p>
        </w:tc>
        <w:tc>
          <w:tcPr>
            <w:tcW w:type="dxa" w:w="234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Cost Center (Op. No.)</w:t>
            </w:r>
          </w:p>
        </w:tc>
        <w:tc>
          <w:tcPr>
            <w:tcW w:type="dxa" w:w="234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Unit Group</w:t>
            </w:r>
          </w:p>
        </w:tc>
        <w:tc>
          <w:tcPr>
            <w:tcW w:type="dxa" w:w="234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Factor</w:t>
            </w:r>
          </w:p>
        </w:tc>
      </w:tr>
      <w:tr>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APPLETON</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5082</w:t>
            </w:r>
          </w:p>
        </w:tc>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APPLETON / WAUSAU (same unit)</w:t>
            </w:r>
          </w:p>
        </w:tc>
        <w:tc>
          <w:tcPr>
            <w:tcW w:type="dxa" w:w="21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1.50 (multiple)</w:t>
            </w:r>
          </w:p>
        </w:tc>
      </w:tr>
      <w:tr>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WAUSAU</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5082</w:t>
            </w:r>
          </w:p>
        </w:tc>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APPLETON / WAUSAU (same unit)</w:t>
            </w:r>
          </w:p>
        </w:tc>
        <w:tc>
          <w:tcPr>
            <w:tcW w:type="dxa" w:w="21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1.50 (multiple)</w:t>
            </w:r>
          </w:p>
        </w:tc>
      </w:tr>
      <w:tr>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CENTRAL IL</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5104</w:t>
            </w:r>
          </w:p>
        </w:tc>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Single cash room</w:t>
            </w:r>
          </w:p>
        </w:tc>
        <w:tc>
          <w:tcPr>
            <w:tcW w:type="dxa" w:w="21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1.25 (single)</w:t>
            </w:r>
          </w:p>
        </w:tc>
      </w:tr>
      <w:tr>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BLOOMINGDALE</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5117</w:t>
            </w:r>
          </w:p>
        </w:tc>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Single cash room</w:t>
            </w:r>
          </w:p>
        </w:tc>
        <w:tc>
          <w:tcPr>
            <w:tcW w:type="dxa" w:w="21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1.25 (single)</w:t>
            </w:r>
          </w:p>
        </w:tc>
      </w:tr>
      <w:tr>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ROMEOVILLE</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5132</w:t>
            </w:r>
          </w:p>
        </w:tc>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Single cash room</w:t>
            </w:r>
          </w:p>
        </w:tc>
        <w:tc>
          <w:tcPr>
            <w:tcW w:type="dxa" w:w="21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1.25 (single)</w:t>
            </w:r>
          </w:p>
        </w:tc>
      </w:tr>
    </w:tbl>
    <w:p>
      <w:pPr>
        <w:spacing w:before="100" w:after="80"/>
      </w:pPr>
    </w:p>
    <w:p>
      <w:pPr>
        <w:spacing w:before="60" w:after="100" w:line="276" w:lineRule="auto"/>
      </w:pPr>
      <w:r>
        <w:rPr>
          <w:rFonts w:ascii="Arial" w:cs="Arial" w:eastAsia="Arial" w:hAnsi="Arial"/>
          <w:b/>
          <w:bCs/>
          <w:sz w:val="22"/>
          <w:szCs w:val="22"/>
        </w:rPr>
        <w:t xml:space="preserve">Note: </w:t>
      </w:r>
      <w:r>
        <w:rPr>
          <w:rFonts w:ascii="Arial" w:cs="Arial" w:eastAsia="Arial" w:hAnsi="Arial"/>
          <w:sz w:val="22"/>
          <w:szCs w:val="22"/>
        </w:rPr>
        <w:t xml:space="preserve">APPLETON and WAUSAU share cost center 5082 because they are operated under the same unit. Their reasonableness calculations appear side-by-side in a single report. The factor for this unit is 1.50 (multiple cash rooms).</w:t>
      </w:r>
    </w:p>
    <w:p>
      <w:pPr>
        <w:spacing w:before="80" w:after="80"/>
      </w:pPr>
    </w:p>
    <w:p>
      <w:pPr>
        <w:spacing w:before="60" w:after="100" w:line="276" w:lineRule="auto"/>
      </w:pPr>
      <w:r>
        <w:rPr>
          <w:rFonts w:ascii="Arial" w:cs="Arial" w:eastAsia="Arial" w:hAnsi="Arial"/>
          <w:b/>
          <w:bCs/>
          <w:sz w:val="22"/>
          <w:szCs w:val="22"/>
        </w:rPr>
        <w:t xml:space="preserve">Admin action required: </w:t>
      </w:r>
      <w:r>
        <w:rPr>
          <w:rFonts w:ascii="Arial" w:cs="Arial" w:eastAsia="Arial" w:hAnsi="Arial"/>
          <w:sz w:val="22"/>
          <w:szCs w:val="22"/>
        </w:rPr>
        <w:t xml:space="preserve">Jamie Spoor will provide the complete cost center mapping (operation numbers and location-to-cost-center links) for configuration in the Admin screen. The Admin screen must include a Cost Center / Operation Number field for each location.</w:t>
      </w:r>
    </w:p>
    <w:p>
      <w:pPr>
        <w:spacing w:before="80" w:after="80"/>
      </w:pPr>
    </w:p>
    <w:p>
      <w:r>
        <w:br w:type="page"/>
      </w:r>
    </w:p>
    <w:p>
      <w:pPr>
        <w:pStyle w:val="Heading1"/>
        <w:spacing w:before="400" w:after="160"/>
      </w:pPr>
      <w:r>
        <w:rPr>
          <w:rFonts w:ascii="Arial" w:cs="Arial" w:eastAsia="Arial" w:hAnsi="Arial"/>
          <w:b/>
          <w:bCs/>
          <w:color w:val="0D3320"/>
          <w:sz w:val="34"/>
          <w:szCs w:val="34"/>
        </w:rPr>
        <w:t xml:space="preserve">4.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Role</w:t>
            </w:r>
          </w:p>
        </w:tc>
        <w:tc>
          <w:tcPr>
            <w:tcW w:type="dxa" w:w="71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Responsibilities in Cash Reasonableness Test</w:t>
            </w:r>
          </w:p>
        </w:tc>
      </w:tr>
      <w:tr>
        <w:tc>
          <w:tcPr>
            <w:tcW w:type="dxa" w:w="2200"/>
            <w:tcBorders>
              <w:top w:val="single" w:color="C4BFB5" w:sz="1"/>
              <w:left w:val="single" w:color="C4BFB5" w:sz="1"/>
              <w:bottom w:val="single" w:color="C4BFB5" w:sz="1"/>
              <w:right w:val="single" w:color="C4BFB5" w:sz="1"/>
            </w:tcBorders>
            <w:shd w:fill="D6F0DC"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Branch Controller</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Primary owner of the Cash Reasonableness Test. Opens the module, selects location and date range, selects the factor multiplier, reviews calculated results, enters conclusion notes, confirms required actions (Yes/No), and marks each location complete. Generates and downloads the final report.</w:t>
            </w:r>
          </w:p>
        </w:tc>
      </w:tr>
      <w:tr>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Admin / RC (Regional Controller)</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Views the Reasonableness Reports dashboard in the Admin panel. Can see all submitted reports, last test date per location, status (Reasonable / Overfunded), notes, and link to full report. Jamie Spoor and Alara will hold Admin access. Admin does not perform the test — they review and monitor.</w:t>
            </w:r>
          </w:p>
        </w:tc>
      </w:tr>
      <w:tr>
        <w:tc>
          <w:tcPr>
            <w:tcW w:type="dxa" w:w="2200"/>
            <w:tcBorders>
              <w:top w:val="single" w:color="C4BFB5" w:sz="1"/>
              <w:left w:val="single" w:color="C4BFB5" w:sz="1"/>
              <w:bottom w:val="single" w:color="C4BFB5" w:sz="1"/>
              <w:right w:val="single" w:color="C4BFB5" w:sz="1"/>
            </w:tcBorders>
            <w:shd w:fill="D6F0DC"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DGM / Regional Leader</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Has visibility into compliance status across the district. Can see whether each location’s quarterly test has been completed. Does not generate reports directly.</w:t>
            </w:r>
          </w:p>
        </w:tc>
      </w:tr>
      <w:tr>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Operator</w:t>
            </w:r>
          </w:p>
        </w:tc>
        <w:tc>
          <w:tcPr>
            <w:tcW w:type="dxa" w:w="71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No direct involvement in the Cash Reasonableness Test. However, daily cash room submissions (cashroom forms) provide the source data (Line F, Line H, Line J, Section A) used in the test calculations.</w:t>
            </w:r>
          </w:p>
        </w:tc>
      </w:tr>
    </w:tbl>
    <w:p>
      <w:pPr>
        <w:spacing w:before="80" w:after="80"/>
      </w:pPr>
    </w:p>
    <w:p>
      <w:r>
        <w:br w:type="page"/>
      </w:r>
    </w:p>
    <w:p>
      <w:pPr>
        <w:pStyle w:val="Heading1"/>
        <w:spacing w:before="400" w:after="160"/>
      </w:pPr>
      <w:r>
        <w:rPr>
          <w:rFonts w:ascii="Arial" w:cs="Arial" w:eastAsia="Arial" w:hAnsi="Arial"/>
          <w:b/>
          <w:bCs/>
          <w:color w:val="0D3320"/>
          <w:sz w:val="34"/>
          <w:szCs w:val="34"/>
        </w:rPr>
        <w:t xml:space="preserve">5. Calculation Logic</w:t>
      </w:r>
    </w:p>
    <w:p>
      <w:pPr>
        <w:spacing w:before="60" w:after="100" w:line="276" w:lineRule="auto"/>
      </w:pPr>
      <w:r>
        <w:rPr>
          <w:rFonts w:ascii="Arial" w:cs="Arial" w:eastAsia="Arial" w:hAnsi="Arial"/>
          <w:sz w:val="22"/>
          <w:szCs w:val="22"/>
        </w:rPr>
        <w:t xml:space="preserve">All input values are pulled automatically from the cashroom form database. No manual data entry is required for line items F, H, or J. The controller only selects parameters (location, date range, factor) and enters narrative conclusion notes.</w:t>
      </w:r>
    </w:p>
    <w:p>
      <w:pPr>
        <w:spacing w:before="80" w:after="80"/>
      </w:pPr>
    </w:p>
    <w:p>
      <w:pPr>
        <w:pStyle w:val="Heading2"/>
        <w:spacing w:before="300" w:after="120"/>
      </w:pPr>
      <w:r>
        <w:rPr>
          <w:rFonts w:ascii="Arial" w:cs="Arial" w:eastAsia="Arial" w:hAnsi="Arial"/>
          <w:b/>
          <w:bCs/>
          <w:color w:val="1F6138"/>
          <w:sz w:val="28"/>
          <w:szCs w:val="28"/>
        </w:rPr>
        <w:t xml:space="preserve">5.1 Data Inputs — Sourced Automatically from Cashroom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Field / Row</w:t>
            </w:r>
          </w:p>
        </w:tc>
        <w:tc>
          <w:tcPr>
            <w:tcW w:type="dxa" w:w="16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Source</w:t>
            </w:r>
          </w:p>
        </w:tc>
        <w:tc>
          <w:tcPr>
            <w:tcW w:type="dxa" w:w="41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Calculation / Logic</w:t>
            </w:r>
          </w:p>
        </w:tc>
      </w:tr>
      <w:tr>
        <w:tc>
          <w:tcPr>
            <w:tcW w:type="dxa" w:w="3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Line F — Uncounted Funds</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Auto (DB)</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Maximum value of Form 403 Line F across all submissions within the selected date range for this location.</w:t>
            </w:r>
          </w:p>
        </w:tc>
      </w:tr>
      <w:tr>
        <w:tc>
          <w:tcPr>
            <w:tcW w:type="dxa" w:w="3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Line H — Outstanding Changers
(incl. Driver Funds)</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Auto (DB)</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Maximum value of Form 403 Line H (outstanding changers, includes driver funds) across all submissions in the selected period.</w:t>
            </w:r>
          </w:p>
        </w:tc>
      </w:tr>
      <w:tr>
        <w:tc>
          <w:tcPr>
            <w:tcW w:type="dxa" w:w="3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Line J — Replenishment</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Auto (DB)</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Maximum value of Form 403 Line J (coin purchase / replenishment) across all submissions in the selected period.</w:t>
            </w:r>
          </w:p>
        </w:tc>
      </w:tr>
      <w:tr>
        <w:tc>
          <w:tcPr>
            <w:tcW w:type="dxa" w:w="3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Line K — Coin Purchase in Transit</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Auto (DB)</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Maximum value of coin purchase in transit. Defaults to $0 if not captured separately in the cashroom form.</w:t>
            </w:r>
          </w:p>
        </w:tc>
      </w:tr>
      <w:tr>
        <w:tc>
          <w:tcPr>
            <w:tcW w:type="dxa" w:w="3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Total (Highest Balance)</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Calculated</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Sum of Line F + Line H + Line J + Line K. This represents the highest aggregate operational usage across the period.</w:t>
            </w:r>
          </w:p>
        </w:tc>
      </w:tr>
      <w:tr>
        <w:tc>
          <w:tcPr>
            <w:gridSpan w:val="3"/>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bCs/>
                <w:color w:val="D97706"/>
                <w:sz w:val="20"/>
                <w:szCs w:val="20"/>
              </w:rPr>
              <w:t xml:space="preserve">🟡 Yellow background = auto-calculated field (not manually entered)</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left w:val="none"/>
              <w:bottom w:val="none"/>
              <w:right w:val="none"/>
            </w:tcBorders>
            <w:shd w:fill="D97706"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 From the Meeting (Jamie Spoor)</w:t>
            </w:r>
          </w:p>
        </w:tc>
      </w:tr>
      <w:tr>
        <w:tc>
          <w:tcPr>
            <w:tcBorders>
              <w:top w:val="none"/>
              <w:left w:val="none"/>
              <w:bottom w:val="none"/>
              <w:right w:val="none"/>
            </w:tcBorders>
            <w:shd w:fill="FFFBEB"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"Driver Funds — I think we can combine and take out because it’s actually part of the total that is on the prototype. So I will remove that one. It would just be those three items [F, H, J]."</w:t>
            </w:r>
          </w:p>
          <w:p>
            <w:pPr>
              <w:spacing w:before="60" w:after="100" w:line="276" w:lineRule="auto"/>
            </w:pPr>
            <w:r>
              <w:rPr>
                <w:rFonts w:ascii="Arial" w:cs="Arial" w:eastAsia="Arial" w:hAnsi="Arial"/>
                <w:sz w:val="22"/>
                <w:szCs w:val="22"/>
              </w:rPr>
              <w:t xml:space="preserve">"It should tie up exactly with the letters in the wording from the prototype on the cash room sheet. So Line F, Line H, Line J. So yeah, it should flow."</w:t>
            </w:r>
          </w:p>
        </w:tc>
      </w:tr>
    </w:tbl>
    <w:p>
      <w:pPr>
        <w:spacing w:before="120" w:after="80"/>
      </w:pPr>
    </w:p>
    <w:p>
      <w:pPr>
        <w:pStyle w:val="Heading2"/>
        <w:spacing w:before="300" w:after="120"/>
      </w:pPr>
      <w:r>
        <w:rPr>
          <w:rFonts w:ascii="Arial" w:cs="Arial" w:eastAsia="Arial" w:hAnsi="Arial"/>
          <w:b/>
          <w:bCs/>
          <w:color w:val="1F6138"/>
          <w:sz w:val="28"/>
          <w:szCs w:val="28"/>
        </w:rPr>
        <w:t xml:space="preserve">5.2 Factor Multiplier</w:t>
      </w:r>
    </w:p>
    <w:p>
      <w:pPr>
        <w:spacing w:before="60" w:after="100" w:line="276" w:lineRule="auto"/>
      </w:pPr>
      <w:r>
        <w:rPr>
          <w:rFonts w:ascii="Arial" w:cs="Arial" w:eastAsia="Arial" w:hAnsi="Arial"/>
          <w:sz w:val="22"/>
          <w:szCs w:val="22"/>
        </w:rPr>
        <w:t xml:space="preserve">The factor is selected by the controller from a dropdown. It determines the safety buffer applied to the highest observed balance.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Factor</w:t>
            </w:r>
          </w:p>
        </w:tc>
        <w:tc>
          <w:tcPr>
            <w:tcW w:type="dxa" w:w="30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Condition</w:t>
            </w:r>
          </w:p>
        </w:tc>
        <w:tc>
          <w:tcPr>
            <w:tcW w:type="dxa" w:w="49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Explanation</w:t>
            </w:r>
          </w:p>
        </w:tc>
      </w:tr>
      <w:tr>
        <w:tc>
          <w:tcPr>
            <w:tcW w:type="dxa" w:w="1400"/>
            <w:tcBorders>
              <w:top w:val="single" w:color="C4BFB5" w:sz="1"/>
              <w:left w:val="single" w:color="C4BFB5" w:sz="1"/>
              <w:bottom w:val="single" w:color="C4BFB5" w:sz="1"/>
              <w:right w:val="single" w:color="C4BFB5" w:sz="1"/>
            </w:tcBorders>
            <w:shd w:fill="D6F0DC"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1.25</w:t>
            </w:r>
          </w:p>
        </w:tc>
        <w:tc>
          <w:tcPr>
            <w:tcW w:type="dxa" w:w="300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Single Cash Room within the unit</w:t>
            </w:r>
          </w:p>
        </w:tc>
        <w:tc>
          <w:tcPr>
            <w:tcW w:type="dxa" w:w="49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Unit has only one cash room. 25% buffer above highest usage.</w:t>
            </w:r>
          </w:p>
        </w:tc>
      </w:tr>
      <w:tr>
        <w:tc>
          <w:tcPr>
            <w:tcW w:type="dxa" w:w="1400"/>
            <w:tcBorders>
              <w:top w:val="single" w:color="C4BFB5" w:sz="1"/>
              <w:left w:val="single" w:color="C4BFB5" w:sz="1"/>
              <w:bottom w:val="single" w:color="C4BFB5" w:sz="1"/>
              <w:right w:val="single" w:color="C4BFB5" w:sz="1"/>
            </w:tcBorders>
            <w:shd w:fill="D6F0DC" w:val="clear"/>
            <w:tcMar>
              <w:top w:type="dxa" w:w="100"/>
              <w:left w:type="dxa" w:w="140"/>
              <w:bottom w:type="dxa" w:w="100"/>
              <w:right w:type="dxa" w:w="140"/>
            </w:tcMar>
          </w:tcPr>
          <w:p>
            <w:pPr>
              <w:spacing w:before="60" w:after="100" w:line="276" w:lineRule="auto"/>
            </w:pPr>
            <w:r>
              <w:rPr>
                <w:rFonts w:ascii="Arial" w:cs="Arial" w:eastAsia="Arial" w:hAnsi="Arial"/>
                <w:b/>
                <w:bCs/>
                <w:color w:val="1F6138"/>
                <w:sz w:val="22"/>
                <w:szCs w:val="22"/>
              </w:rPr>
              <w:t xml:space="preserve">1.50</w:t>
            </w:r>
          </w:p>
        </w:tc>
        <w:tc>
          <w:tcPr>
            <w:tcW w:type="dxa" w:w="300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Multiple Cash Rooms within the unit (e.g. Appleton + Wausau)</w:t>
            </w:r>
          </w:p>
        </w:tc>
        <w:tc>
          <w:tcPr>
            <w:tcW w:type="dxa" w:w="49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Unit has two or more cash rooms. 50% buffer. Money may be in transit between rooms.</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left w:val="none"/>
              <w:bottom w:val="none"/>
              <w:right w:val="none"/>
            </w:tcBorders>
            <w:shd w:fill="2563E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 From the Meeting (Shivani Gupta)</w:t>
            </w:r>
          </w:p>
        </w:tc>
      </w:tr>
      <w:tr>
        <w:tc>
          <w:tcPr>
            <w:tcBorders>
              <w:top w:val="none"/>
              <w:left w:val="none"/>
              <w:bottom w:val="none"/>
              <w:right w:val="none"/>
            </w:tcBorders>
            <w:shd w:fill="EFF6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"Even if something happens and your usage goes up, you have 1½ times that — because sometimes money’s in transit, something happens, you don’t have the right change. So we give them a factor of 1.25 or 1.5."</w:t>
            </w:r>
          </w:p>
        </w:tc>
      </w:tr>
    </w:tbl>
    <w:p>
      <w:pPr>
        <w:spacing w:before="120" w:after="80"/>
      </w:pPr>
    </w:p>
    <w:p>
      <w:pPr>
        <w:pStyle w:val="Heading2"/>
        <w:spacing w:before="300" w:after="120"/>
      </w:pPr>
      <w:r>
        <w:rPr>
          <w:rFonts w:ascii="Arial" w:cs="Arial" w:eastAsia="Arial" w:hAnsi="Arial"/>
          <w:b/>
          <w:bCs/>
          <w:color w:val="1F6138"/>
          <w:sz w:val="28"/>
          <w:szCs w:val="28"/>
        </w:rPr>
        <w:t xml:space="preserve">5.3 Full Calculation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Field / Row</w:t>
            </w:r>
          </w:p>
        </w:tc>
        <w:tc>
          <w:tcPr>
            <w:tcW w:type="dxa" w:w="16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Source</w:t>
            </w:r>
          </w:p>
        </w:tc>
        <w:tc>
          <w:tcPr>
            <w:tcW w:type="dxa" w:w="41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Calculation / Logic</w:t>
            </w:r>
          </w:p>
        </w:tc>
      </w:tr>
      <w:tr>
        <w:tc>
          <w:tcPr>
            <w:tcW w:type="dxa" w:w="3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Total (Highest Balance)</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Calculated</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 + H + J + K (max of each line individually across the period).</w:t>
            </w:r>
          </w:p>
        </w:tc>
      </w:tr>
      <w:tr>
        <w:tc>
          <w:tcPr>
            <w:tcW w:type="dxa" w:w="3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Factor</w:t>
            </w:r>
          </w:p>
        </w:tc>
        <w:tc>
          <w:tcPr>
            <w:tcW w:type="dxa" w:w="1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Controller selects</w:t>
            </w:r>
          </w:p>
        </w:tc>
        <w:tc>
          <w:tcPr>
            <w:tcW w:type="dxa" w:w="41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1.25 (single room) or 1.50 (multiple rooms). Dropdown selection.</w:t>
            </w:r>
          </w:p>
        </w:tc>
      </w:tr>
      <w:tr>
        <w:tc>
          <w:tcPr>
            <w:tcW w:type="dxa" w:w="3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Expected Fund Amount</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Calculated</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Total × Factor. This is the maximum fund the location should hold.</w:t>
            </w:r>
          </w:p>
        </w:tc>
      </w:tr>
      <w:tr>
        <w:tc>
          <w:tcPr>
            <w:tcW w:type="dxa" w:w="3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Actual Fund Amount</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Auto (DB)</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Highest Cashier’s Fund Balance (total fund) from cashroom form submissions in the selected period. Read-only — not manually editable.</w:t>
            </w:r>
          </w:p>
        </w:tc>
      </w:tr>
      <w:tr>
        <w:tc>
          <w:tcPr>
            <w:tcW w:type="dxa" w:w="3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Over/(Under) Funded By</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Calculated</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Actual Fund Amount − Expected Fund Amount. Positive = overfunded. Negative = underfunded.</w:t>
            </w:r>
          </w:p>
        </w:tc>
      </w:tr>
      <w:tr>
        <w:tc>
          <w:tcPr>
            <w:tcW w:type="dxa" w:w="3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Less Cushion Permitted</w:t>
            </w:r>
          </w:p>
        </w:tc>
        <w:tc>
          <w:tcPr>
            <w:tcW w:type="dxa" w:w="1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Default −$5,000 (editable)</w:t>
            </w:r>
          </w:p>
        </w:tc>
        <w:tc>
          <w:tcPr>
            <w:tcW w:type="dxa" w:w="41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A $5,000 cushion permitted by audit. Controller can adjust this value. Audit standard.</w:t>
            </w:r>
          </w:p>
        </w:tc>
      </w:tr>
      <w:tr>
        <w:tc>
          <w:tcPr>
            <w:tcW w:type="dxa" w:w="3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Net Result</w:t>
            </w:r>
          </w:p>
        </w:tc>
        <w:tc>
          <w:tcPr>
            <w:tcW w:type="dxa" w:w="16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color w:val="7A7A72"/>
                <w:sz w:val="22"/>
                <w:szCs w:val="22"/>
              </w:rPr>
              <w:t xml:space="preserve">Calculated</w:t>
            </w:r>
          </w:p>
        </w:tc>
        <w:tc>
          <w:tcPr>
            <w:tcW w:type="dxa" w:w="41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(Over/Under Funded) + Cushion. If positive: action may be required. If negative or zero: fund is within acceptable range.</w:t>
            </w:r>
          </w:p>
        </w:tc>
      </w:tr>
      <w:tr>
        <w:tc>
          <w:tcPr>
            <w:gridSpan w:val="3"/>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bCs/>
                <w:color w:val="D97706"/>
                <w:sz w:val="20"/>
                <w:szCs w:val="20"/>
              </w:rPr>
              <w:t xml:space="preserve">🟡 Yellow background = auto-calculated field (not manually entered)</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left w:val="none"/>
              <w:bottom w:val="none"/>
              <w:right w:val="none"/>
            </w:tcBorders>
            <w:shd w:fill="D97706"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 From the Meeting (Jamie Spoor)</w:t>
            </w:r>
          </w:p>
        </w:tc>
      </w:tr>
      <w:tr>
        <w:tc>
          <w:tcPr>
            <w:tcBorders>
              <w:top w:val="none"/>
              <w:left w:val="none"/>
              <w:bottom w:val="none"/>
              <w:right w:val="none"/>
            </w:tcBorders>
            <w:shd w:fill="FFFBEB"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"The actual fund amount, that’s the room balance. Expected fund amount is taking the total of the highest balances times either 1.25 or 1.5."</w:t>
            </w:r>
          </w:p>
          <w:p>
            <w:pPr>
              <w:spacing w:before="60" w:after="100" w:line="276" w:lineRule="auto"/>
            </w:pPr>
            <w:r>
              <w:rPr>
                <w:rFonts w:ascii="Arial" w:cs="Arial" w:eastAsia="Arial" w:hAnsi="Arial"/>
                <w:sz w:val="22"/>
                <w:szCs w:val="22"/>
              </w:rPr>
              <w:t xml:space="preserve">"There’s a $5,000 cushion that audit gives us. So right now like for Appleton, they’re actually overfunded by about $1,983 in P4 and $2,600 in P5."</w:t>
            </w:r>
          </w:p>
          <w:p>
            <w:pPr>
              <w:spacing w:before="60" w:after="100" w:line="276" w:lineRule="auto"/>
            </w:pPr>
            <w:r>
              <w:rPr>
                <w:rFonts w:ascii="Arial" w:cs="Arial" w:eastAsia="Arial" w:hAnsi="Arial"/>
                <w:sz w:val="22"/>
                <w:szCs w:val="22"/>
              </w:rPr>
              <w:t xml:space="preserve">"So technically they should probably lower their room [balance] for this one down to about $30,000 for Appleton."</w:t>
            </w:r>
          </w:p>
        </w:tc>
      </w:tr>
    </w:tbl>
    <w:p>
      <w:pPr>
        <w:spacing w:before="80" w:after="80"/>
      </w:pPr>
    </w:p>
    <w:p>
      <w:r>
        <w:br w:type="page"/>
      </w:r>
    </w:p>
    <w:p>
      <w:pPr>
        <w:pStyle w:val="Heading1"/>
        <w:spacing w:before="400" w:after="160"/>
      </w:pPr>
      <w:r>
        <w:rPr>
          <w:rFonts w:ascii="Arial" w:cs="Arial" w:eastAsia="Arial" w:hAnsi="Arial"/>
          <w:b/>
          <w:bCs/>
          <w:color w:val="0D3320"/>
          <w:sz w:val="34"/>
          <w:szCs w:val="34"/>
        </w:rPr>
        <w:t xml:space="preserve">6. System Workflow — Step-by-Step Process</w:t>
      </w:r>
    </w:p>
    <w:p>
      <w:pPr>
        <w:spacing w:before="60" w:after="100" w:line="276" w:lineRule="auto"/>
      </w:pPr>
      <w:r>
        <w:rPr>
          <w:rFonts w:ascii="Arial" w:cs="Arial" w:eastAsia="Arial" w:hAnsi="Arial"/>
          <w:sz w:val="22"/>
          <w:szCs w:val="22"/>
        </w:rPr>
        <w:t xml:space="preserve">The following steps describe the end-to-end workflow for a controller generating the Cash Reasonableness Test report within the CashRoom Compliance System prototype.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
        <w:gridCol w:w="2200"/>
        <w:gridCol w:w="6260"/>
      </w:tblGrid>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1</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Controller Opens Module</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logs into the CashRoom Compliance System and selects their role. They navigate to the "Cash Reasonableness Test" tab within the Controller navigation panel.</w:t>
            </w:r>
          </w:p>
          <w:p>
            <w:pPr>
              <w:pStyle w:val="ListParagraph"/>
              <w:numPr>
                <w:ilvl w:val="0"/>
                <w:numId w:val="2"/>
              </w:numPr>
              <w:spacing w:before="30" w:after="30"/>
            </w:pPr>
            <w:r>
              <w:rPr>
                <w:rFonts w:ascii="Arial" w:cs="Arial" w:eastAsia="Arial" w:hAnsi="Arial"/>
                <w:sz w:val="21"/>
                <w:szCs w:val="21"/>
              </w:rPr>
              <w:t xml:space="preserve">Login → Select Role: Controller</w:t>
            </w:r>
          </w:p>
          <w:p>
            <w:pPr>
              <w:pStyle w:val="ListParagraph"/>
              <w:numPr>
                <w:ilvl w:val="0"/>
                <w:numId w:val="2"/>
              </w:numPr>
              <w:spacing w:before="30" w:after="30"/>
            </w:pPr>
            <w:r>
              <w:rPr>
                <w:rFonts w:ascii="Arial" w:cs="Arial" w:eastAsia="Arial" w:hAnsi="Arial"/>
                <w:sz w:val="21"/>
                <w:szCs w:val="21"/>
              </w:rPr>
              <w:t xml:space="preserve">Navigate: Sidebar → Cash Reasonableness Test</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2</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Select Location</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selects the location (cash room unit) from a dropdown. This is location-based, not cost-centre-based. Locations that share a cost centre (e.g. Appleton + Wausau) are grouped under one selection but display as parallel columns.</w:t>
            </w:r>
          </w:p>
          <w:p>
            <w:pPr>
              <w:pStyle w:val="ListParagraph"/>
              <w:numPr>
                <w:ilvl w:val="0"/>
                <w:numId w:val="2"/>
              </w:numPr>
              <w:spacing w:before="30" w:after="30"/>
            </w:pPr>
            <w:r>
              <w:rPr>
                <w:rFonts w:ascii="Arial" w:cs="Arial" w:eastAsia="Arial" w:hAnsi="Arial"/>
                <w:sz w:val="21"/>
                <w:szCs w:val="21"/>
              </w:rPr>
              <w:t xml:space="preserve">Location dropdown auto-fills the Cost Center (Operation Number) field</w:t>
            </w:r>
          </w:p>
          <w:p>
            <w:pPr>
              <w:pStyle w:val="ListParagraph"/>
              <w:numPr>
                <w:ilvl w:val="0"/>
                <w:numId w:val="2"/>
              </w:numPr>
              <w:spacing w:before="30" w:after="30"/>
            </w:pPr>
            <w:r>
              <w:rPr>
                <w:rFonts w:ascii="Arial" w:cs="Arial" w:eastAsia="Arial" w:hAnsi="Arial"/>
                <w:sz w:val="21"/>
                <w:szCs w:val="21"/>
              </w:rPr>
              <w:t xml:space="preserve">Sub-locations within the unit are auto-displayed (e.g. APPLETON / WAUSAU)</w:t>
            </w:r>
          </w:p>
          <w:p>
            <w:pPr>
              <w:pStyle w:val="ListParagraph"/>
              <w:numPr>
                <w:ilvl w:val="0"/>
                <w:numId w:val="2"/>
              </w:numPr>
              <w:spacing w:before="30" w:after="30"/>
            </w:pPr>
            <w:r>
              <w:rPr>
                <w:rFonts w:ascii="Arial" w:cs="Arial" w:eastAsia="Arial" w:hAnsi="Arial"/>
                <w:sz w:val="21"/>
                <w:szCs w:val="21"/>
              </w:rPr>
              <w:t xml:space="preserve">Factor multiplier is pre-suggested based on number of sub-locations (1.25 or 1.50)</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3</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Select Date Range</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selects From and To dates for the analysis period. The system accepts any custom range. Typically this spans one or two fiscal periods within the current quarter.</w:t>
            </w:r>
          </w:p>
          <w:p>
            <w:pPr>
              <w:pStyle w:val="ListParagraph"/>
              <w:numPr>
                <w:ilvl w:val="0"/>
                <w:numId w:val="2"/>
              </w:numPr>
              <w:spacing w:before="30" w:after="30"/>
            </w:pPr>
            <w:r>
              <w:rPr>
                <w:rFonts w:ascii="Arial" w:cs="Arial" w:eastAsia="Arial" w:hAnsi="Arial"/>
                <w:sz w:val="21"/>
                <w:szCs w:val="21"/>
              </w:rPr>
              <w:t xml:space="preserve">Both From and To fields are required</w:t>
            </w:r>
          </w:p>
          <w:p>
            <w:pPr>
              <w:pStyle w:val="ListParagraph"/>
              <w:numPr>
                <w:ilvl w:val="0"/>
                <w:numId w:val="2"/>
              </w:numPr>
              <w:spacing w:before="30" w:after="30"/>
            </w:pPr>
            <w:r>
              <w:rPr>
                <w:rFonts w:ascii="Arial" w:cs="Arial" w:eastAsia="Arial" w:hAnsi="Arial"/>
                <w:sz w:val="21"/>
                <w:szCs w:val="21"/>
              </w:rPr>
              <w:t xml:space="preserve">Date range is capped at today (cannot select future dates)</w:t>
            </w:r>
          </w:p>
          <w:p>
            <w:pPr>
              <w:pStyle w:val="ListParagraph"/>
              <w:numPr>
                <w:ilvl w:val="0"/>
                <w:numId w:val="2"/>
              </w:numPr>
              <w:spacing w:before="30" w:after="30"/>
            </w:pPr>
            <w:r>
              <w:rPr>
                <w:rFonts w:ascii="Arial" w:cs="Arial" w:eastAsia="Arial" w:hAnsi="Arial"/>
                <w:sz w:val="21"/>
                <w:szCs w:val="21"/>
              </w:rPr>
              <w:t xml:space="preserve">System will display the fiscal period label (e.g. P4 – P5, Q2 FY2026) in the report header</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4</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Select Factor Multiplier</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confirms or changes the Factor Multiplier from the dropdown.</w:t>
            </w:r>
          </w:p>
          <w:p>
            <w:pPr>
              <w:pStyle w:val="ListParagraph"/>
              <w:numPr>
                <w:ilvl w:val="0"/>
                <w:numId w:val="2"/>
              </w:numPr>
              <w:spacing w:before="30" w:after="30"/>
            </w:pPr>
            <w:r>
              <w:rPr>
                <w:rFonts w:ascii="Arial" w:cs="Arial" w:eastAsia="Arial" w:hAnsi="Arial"/>
                <w:sz w:val="21"/>
                <w:szCs w:val="21"/>
              </w:rPr>
              <w:t xml:space="preserve">1.25 — Single Cash Room: for units with only one cash room</w:t>
            </w:r>
          </w:p>
          <w:p>
            <w:pPr>
              <w:pStyle w:val="ListParagraph"/>
              <w:numPr>
                <w:ilvl w:val="0"/>
                <w:numId w:val="2"/>
              </w:numPr>
              <w:spacing w:before="30" w:after="30"/>
            </w:pPr>
            <w:r>
              <w:rPr>
                <w:rFonts w:ascii="Arial" w:cs="Arial" w:eastAsia="Arial" w:hAnsi="Arial"/>
                <w:sz w:val="21"/>
                <w:szCs w:val="21"/>
              </w:rPr>
              <w:t xml:space="preserve">1.50 — Multiple Cash Rooms: for units with two or more cash rooms (e.g. Appleton + Wausau)</w:t>
            </w:r>
          </w:p>
          <w:p>
            <w:pPr>
              <w:pStyle w:val="ListParagraph"/>
              <w:numPr>
                <w:ilvl w:val="0"/>
                <w:numId w:val="2"/>
              </w:numPr>
              <w:spacing w:before="30" w:after="30"/>
            </w:pPr>
            <w:r>
              <w:rPr>
                <w:rFonts w:ascii="Arial" w:cs="Arial" w:eastAsia="Arial" w:hAnsi="Arial"/>
                <w:sz w:val="21"/>
                <w:szCs w:val="21"/>
              </w:rPr>
              <w:t xml:space="preserve">Factor is pre-set based on location configuration but can be changed by the controller</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5</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Enter Scope Description</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enters a free-text scope description (optional but recommended). This appears in the report header.</w:t>
            </w:r>
          </w:p>
          <w:p>
            <w:pPr>
              <w:pStyle w:val="ListParagraph"/>
              <w:numPr>
                <w:ilvl w:val="0"/>
                <w:numId w:val="2"/>
              </w:numPr>
              <w:spacing w:before="30" w:after="30"/>
            </w:pPr>
            <w:r>
              <w:rPr>
                <w:rFonts w:ascii="Arial" w:cs="Arial" w:eastAsia="Arial" w:hAnsi="Arial"/>
                <w:sz w:val="21"/>
                <w:szCs w:val="21"/>
              </w:rPr>
              <w:t xml:space="preserve">Example: "Daily Cashroom Reconciliations for P4 and P5, FY2026"</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6</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Click Generate Report</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clicks the "Generate Reasonableness Report" button. The system pulls all cashroom form submissions within the selected date range and performs all calculations automatically.</w:t>
            </w:r>
          </w:p>
          <w:p>
            <w:pPr>
              <w:pStyle w:val="ListParagraph"/>
              <w:numPr>
                <w:ilvl w:val="0"/>
                <w:numId w:val="2"/>
              </w:numPr>
              <w:spacing w:before="30" w:after="30"/>
            </w:pPr>
            <w:r>
              <w:rPr>
                <w:rFonts w:ascii="Arial" w:cs="Arial" w:eastAsia="Arial" w:hAnsi="Arial"/>
                <w:sz w:val="21"/>
                <w:szCs w:val="21"/>
              </w:rPr>
              <w:t xml:space="preserve">System queries DB for all submissions matching location + date range</w:t>
            </w:r>
          </w:p>
          <w:p>
            <w:pPr>
              <w:pStyle w:val="ListParagraph"/>
              <w:numPr>
                <w:ilvl w:val="0"/>
                <w:numId w:val="2"/>
              </w:numPr>
              <w:spacing w:before="30" w:after="30"/>
            </w:pPr>
            <w:r>
              <w:rPr>
                <w:rFonts w:ascii="Arial" w:cs="Arial" w:eastAsia="Arial" w:hAnsi="Arial"/>
                <w:sz w:val="21"/>
                <w:szCs w:val="21"/>
              </w:rPr>
              <w:t xml:space="preserve">Finds maximum values for Line F, Line H, Line J per location</w:t>
            </w:r>
          </w:p>
          <w:p>
            <w:pPr>
              <w:pStyle w:val="ListParagraph"/>
              <w:numPr>
                <w:ilvl w:val="0"/>
                <w:numId w:val="2"/>
              </w:numPr>
              <w:spacing w:before="30" w:after="30"/>
            </w:pPr>
            <w:r>
              <w:rPr>
                <w:rFonts w:ascii="Arial" w:cs="Arial" w:eastAsia="Arial" w:hAnsi="Arial"/>
                <w:sz w:val="21"/>
                <w:szCs w:val="21"/>
              </w:rPr>
              <w:t xml:space="preserve">Calculates Total, Expected Fund, retrieves Actual Fund (highest cashier balance)</w:t>
            </w:r>
          </w:p>
          <w:p>
            <w:pPr>
              <w:pStyle w:val="ListParagraph"/>
              <w:numPr>
                <w:ilvl w:val="0"/>
                <w:numId w:val="2"/>
              </w:numPr>
              <w:spacing w:before="30" w:after="30"/>
            </w:pPr>
            <w:r>
              <w:rPr>
                <w:rFonts w:ascii="Arial" w:cs="Arial" w:eastAsia="Arial" w:hAnsi="Arial"/>
                <w:sz w:val="21"/>
                <w:szCs w:val="21"/>
              </w:rPr>
              <w:t xml:space="preserve">Calculates Over/Under Funded and Net Result</w:t>
            </w:r>
          </w:p>
          <w:p>
            <w:pPr>
              <w:pStyle w:val="ListParagraph"/>
              <w:numPr>
                <w:ilvl w:val="0"/>
                <w:numId w:val="2"/>
              </w:numPr>
              <w:spacing w:before="30" w:after="30"/>
            </w:pPr>
            <w:r>
              <w:rPr>
                <w:rFonts w:ascii="Arial" w:cs="Arial" w:eastAsia="Arial" w:hAnsi="Arial"/>
                <w:sz w:val="21"/>
                <w:szCs w:val="21"/>
              </w:rPr>
              <w:t xml:space="preserve">Populates the Excel-style calculation table with parallel columns per sub-location</w:t>
            </w:r>
          </w:p>
          <w:p>
            <w:pPr>
              <w:pStyle w:val="ListParagraph"/>
              <w:numPr>
                <w:ilvl w:val="0"/>
                <w:numId w:val="2"/>
              </w:numPr>
              <w:spacing w:before="30" w:after="30"/>
            </w:pPr>
            <w:r>
              <w:rPr>
                <w:rFonts w:ascii="Arial" w:cs="Arial" w:eastAsia="Arial" w:hAnsi="Arial"/>
                <w:sz w:val="21"/>
                <w:szCs w:val="21"/>
              </w:rPr>
              <w:t xml:space="preserve">Populates the Section A daily data table grouped by fiscal period</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7</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Review Calculation Results</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reviews the populated calculation table. The table mirrors the Excel template B.1.4 format exactly, with one column per cash room location side-by-side.</w:t>
            </w:r>
          </w:p>
          <w:p>
            <w:pPr>
              <w:pStyle w:val="ListParagraph"/>
              <w:numPr>
                <w:ilvl w:val="0"/>
                <w:numId w:val="2"/>
              </w:numPr>
              <w:spacing w:before="30" w:after="30"/>
            </w:pPr>
            <w:r>
              <w:rPr>
                <w:rFonts w:ascii="Arial" w:cs="Arial" w:eastAsia="Arial" w:hAnsi="Arial"/>
                <w:sz w:val="21"/>
                <w:szCs w:val="21"/>
              </w:rPr>
              <w:t xml:space="preserve">All calculated fields are highlighted in yellow (auto-calculated, read-only)</w:t>
            </w:r>
          </w:p>
          <w:p>
            <w:pPr>
              <w:pStyle w:val="ListParagraph"/>
              <w:numPr>
                <w:ilvl w:val="0"/>
                <w:numId w:val="2"/>
              </w:numPr>
              <w:spacing w:before="30" w:after="30"/>
            </w:pPr>
            <w:r>
              <w:rPr>
                <w:rFonts w:ascii="Arial" w:cs="Arial" w:eastAsia="Arial" w:hAnsi="Arial"/>
                <w:sz w:val="21"/>
                <w:szCs w:val="21"/>
              </w:rPr>
              <w:t xml:space="preserve">Actual Fund Amount is read-only (sourced automatically)</w:t>
            </w:r>
          </w:p>
          <w:p>
            <w:pPr>
              <w:pStyle w:val="ListParagraph"/>
              <w:numPr>
                <w:ilvl w:val="0"/>
                <w:numId w:val="2"/>
              </w:numPr>
              <w:spacing w:before="30" w:after="30"/>
            </w:pPr>
            <w:r>
              <w:rPr>
                <w:rFonts w:ascii="Arial" w:cs="Arial" w:eastAsia="Arial" w:hAnsi="Arial"/>
                <w:sz w:val="21"/>
                <w:szCs w:val="21"/>
              </w:rPr>
              <w:t xml:space="preserve">Controller may adjust the Cushion Permitted value (default −$5,000)</w:t>
            </w:r>
          </w:p>
          <w:p>
            <w:pPr>
              <w:pStyle w:val="ListParagraph"/>
              <w:numPr>
                <w:ilvl w:val="0"/>
                <w:numId w:val="2"/>
              </w:numPr>
              <w:spacing w:before="30" w:after="30"/>
            </w:pPr>
            <w:r>
              <w:rPr>
                <w:rFonts w:ascii="Arial" w:cs="Arial" w:eastAsia="Arial" w:hAnsi="Arial"/>
                <w:sz w:val="21"/>
                <w:szCs w:val="21"/>
              </w:rPr>
              <w:t xml:space="preserve">Net Result is colour-coded: green = within acceptable range, red = overfunded</w:t>
            </w:r>
          </w:p>
          <w:p>
            <w:pPr>
              <w:pStyle w:val="ListParagraph"/>
              <w:numPr>
                <w:ilvl w:val="0"/>
                <w:numId w:val="2"/>
              </w:numPr>
              <w:spacing w:before="30" w:after="30"/>
            </w:pPr>
            <w:r>
              <w:rPr>
                <w:rFonts w:ascii="Arial" w:cs="Arial" w:eastAsia="Arial" w:hAnsi="Arial"/>
                <w:sz w:val="21"/>
                <w:szCs w:val="21"/>
              </w:rPr>
              <w:t xml:space="preserve">Net Result does not show warning symbols — dollar value only with colour coding</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8</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Review Section A Daily Data</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scrolls down to the "Compare Periods" section which shows Section A (loose currency) balances for every date in the selected range, grouped by fiscal period column.</w:t>
            </w:r>
          </w:p>
          <w:p>
            <w:pPr>
              <w:pStyle w:val="ListParagraph"/>
              <w:numPr>
                <w:ilvl w:val="0"/>
                <w:numId w:val="2"/>
              </w:numPr>
              <w:spacing w:before="30" w:after="30"/>
            </w:pPr>
            <w:r>
              <w:rPr>
                <w:rFonts w:ascii="Arial" w:cs="Arial" w:eastAsia="Arial" w:hAnsi="Arial"/>
                <w:sz w:val="21"/>
                <w:szCs w:val="21"/>
              </w:rPr>
              <w:t xml:space="preserve">Data is displayed per calendar date from start date to end date</w:t>
            </w:r>
          </w:p>
          <w:p>
            <w:pPr>
              <w:pStyle w:val="ListParagraph"/>
              <w:numPr>
                <w:ilvl w:val="0"/>
                <w:numId w:val="2"/>
              </w:numPr>
              <w:spacing w:before="30" w:after="30"/>
            </w:pPr>
            <w:r>
              <w:rPr>
                <w:rFonts w:ascii="Arial" w:cs="Arial" w:eastAsia="Arial" w:hAnsi="Arial"/>
                <w:sz w:val="21"/>
                <w:szCs w:val="21"/>
              </w:rPr>
              <w:t xml:space="preserve">Columns are per location × per fiscal period (e.g. APPLETON P4 | APPLETON P5 | WAUSAU P4 | WAUSAU P5)</w:t>
            </w:r>
          </w:p>
          <w:p>
            <w:pPr>
              <w:pStyle w:val="ListParagraph"/>
              <w:numPr>
                <w:ilvl w:val="0"/>
                <w:numId w:val="2"/>
              </w:numPr>
              <w:spacing w:before="30" w:after="30"/>
            </w:pPr>
            <w:r>
              <w:rPr>
                <w:rFonts w:ascii="Arial" w:cs="Arial" w:eastAsia="Arial" w:hAnsi="Arial"/>
                <w:sz w:val="21"/>
                <w:szCs w:val="21"/>
              </w:rPr>
              <w:t xml:space="preserve">Peak balance per location is highlighted in green</w:t>
            </w:r>
          </w:p>
          <w:p>
            <w:pPr>
              <w:pStyle w:val="ListParagraph"/>
              <w:numPr>
                <w:ilvl w:val="0"/>
                <w:numId w:val="2"/>
              </w:numPr>
              <w:spacing w:before="30" w:after="30"/>
            </w:pPr>
            <w:r>
              <w:rPr>
                <w:rFonts w:ascii="Arial" w:cs="Arial" w:eastAsia="Arial" w:hAnsi="Arial"/>
                <w:sz w:val="21"/>
                <w:szCs w:val="21"/>
              </w:rPr>
              <w:t xml:space="preserve">Average row shown at the bottom with yellow background</w:t>
            </w:r>
          </w:p>
          <w:p>
            <w:pPr>
              <w:pStyle w:val="ListParagraph"/>
              <w:numPr>
                <w:ilvl w:val="0"/>
                <w:numId w:val="2"/>
              </w:numPr>
              <w:spacing w:before="30" w:after="30"/>
            </w:pPr>
            <w:r>
              <w:rPr>
                <w:rFonts w:ascii="Arial" w:cs="Arial" w:eastAsia="Arial" w:hAnsi="Arial"/>
                <w:sz w:val="21"/>
                <w:szCs w:val="21"/>
              </w:rPr>
              <w:t xml:space="preserve">Section A (loose currency in the room) only — no other sections</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9</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Enter Conclusion Per Location</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For each sub-location, the controller enters mandatory conclusion notes. A conclusion is required before the report can be saved or marked complete.</w:t>
            </w:r>
          </w:p>
          <w:p>
            <w:pPr>
              <w:pStyle w:val="ListParagraph"/>
              <w:numPr>
                <w:ilvl w:val="0"/>
                <w:numId w:val="2"/>
              </w:numPr>
              <w:spacing w:before="30" w:after="30"/>
            </w:pPr>
            <w:r>
              <w:rPr>
                <w:rFonts w:ascii="Arial" w:cs="Arial" w:eastAsia="Arial" w:hAnsi="Arial"/>
                <w:sz w:val="21"/>
                <w:szCs w:val="21"/>
              </w:rPr>
              <w:t xml:space="preserve">Conclusion Notes field: mandatory (minimum 5 characters)</w:t>
            </w:r>
          </w:p>
          <w:p>
            <w:pPr>
              <w:pStyle w:val="ListParagraph"/>
              <w:numPr>
                <w:ilvl w:val="0"/>
                <w:numId w:val="2"/>
              </w:numPr>
              <w:spacing w:before="30" w:after="30"/>
            </w:pPr>
            <w:r>
              <w:rPr>
                <w:rFonts w:ascii="Arial" w:cs="Arial" w:eastAsia="Arial" w:hAnsi="Arial"/>
                <w:sz w:val="21"/>
                <w:szCs w:val="21"/>
              </w:rPr>
              <w:t xml:space="preserve">Required Actions: Yes / No dropdown (mandatory)</w:t>
            </w:r>
          </w:p>
          <w:p>
            <w:pPr>
              <w:pStyle w:val="ListParagraph"/>
              <w:numPr>
                <w:ilvl w:val="0"/>
                <w:numId w:val="2"/>
              </w:numPr>
              <w:spacing w:before="30" w:after="30"/>
            </w:pPr>
            <w:r>
              <w:rPr>
                <w:rFonts w:ascii="Arial" w:cs="Arial" w:eastAsia="Arial" w:hAnsi="Arial"/>
                <w:sz w:val="21"/>
                <w:szCs w:val="21"/>
              </w:rPr>
              <w:t xml:space="preserve">If "Yes": a comment text area appears for action details (mandatory)</w:t>
            </w:r>
          </w:p>
          <w:p>
            <w:pPr>
              <w:pStyle w:val="ListParagraph"/>
              <w:numPr>
                <w:ilvl w:val="0"/>
                <w:numId w:val="2"/>
              </w:numPr>
              <w:spacing w:before="30" w:after="30"/>
            </w:pPr>
            <w:r>
              <w:rPr>
                <w:rFonts w:ascii="Arial" w:cs="Arial" w:eastAsia="Arial" w:hAnsi="Arial"/>
                <w:sz w:val="21"/>
                <w:szCs w:val="21"/>
              </w:rPr>
              <w:t xml:space="preserve">Example conclusion: "Funds are reasonable, driver bags were reduced due to Loomis schedule."</w:t>
            </w:r>
          </w:p>
          <w:p>
            <w:pPr>
              <w:pStyle w:val="ListParagraph"/>
              <w:numPr>
                <w:ilvl w:val="0"/>
                <w:numId w:val="2"/>
              </w:numPr>
              <w:spacing w:before="30" w:after="30"/>
            </w:pPr>
            <w:r>
              <w:rPr>
                <w:rFonts w:ascii="Arial" w:cs="Arial" w:eastAsia="Arial" w:hAnsi="Arial"/>
                <w:sz w:val="21"/>
                <w:szCs w:val="21"/>
              </w:rPr>
              <w:t xml:space="preserve">Example actions: "Will deposit excess $4,200 by March 15, 2026."</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10</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Mark Each Location Complete</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For each sub-location card, controller clicks "Confirm &amp; Mark Complete". Validation runs to ensure conclusion and required actions are filled. The card is then locked and shows a green "Completed" badge.</w:t>
            </w:r>
          </w:p>
          <w:p>
            <w:pPr>
              <w:pStyle w:val="ListParagraph"/>
              <w:numPr>
                <w:ilvl w:val="0"/>
                <w:numId w:val="2"/>
              </w:numPr>
              <w:spacing w:before="30" w:after="30"/>
            </w:pPr>
            <w:r>
              <w:rPr>
                <w:rFonts w:ascii="Arial" w:cs="Arial" w:eastAsia="Arial" w:hAnsi="Arial"/>
                <w:sz w:val="21"/>
                <w:szCs w:val="21"/>
              </w:rPr>
              <w:t xml:space="preserve">Validates: Conclusion Notes present</w:t>
            </w:r>
          </w:p>
          <w:p>
            <w:pPr>
              <w:pStyle w:val="ListParagraph"/>
              <w:numPr>
                <w:ilvl w:val="0"/>
                <w:numId w:val="2"/>
              </w:numPr>
              <w:spacing w:before="30" w:after="30"/>
            </w:pPr>
            <w:r>
              <w:rPr>
                <w:rFonts w:ascii="Arial" w:cs="Arial" w:eastAsia="Arial" w:hAnsi="Arial"/>
                <w:sz w:val="21"/>
                <w:szCs w:val="21"/>
              </w:rPr>
              <w:t xml:space="preserve">Validates: Required Actions selection made</w:t>
            </w:r>
          </w:p>
          <w:p>
            <w:pPr>
              <w:pStyle w:val="ListParagraph"/>
              <w:numPr>
                <w:ilvl w:val="0"/>
                <w:numId w:val="2"/>
              </w:numPr>
              <w:spacing w:before="30" w:after="30"/>
            </w:pPr>
            <w:r>
              <w:rPr>
                <w:rFonts w:ascii="Arial" w:cs="Arial" w:eastAsia="Arial" w:hAnsi="Arial"/>
                <w:sz w:val="21"/>
                <w:szCs w:val="21"/>
              </w:rPr>
              <w:t xml:space="preserve">Validates: If "Yes", action details text present</w:t>
            </w:r>
          </w:p>
          <w:p>
            <w:pPr>
              <w:pStyle w:val="ListParagraph"/>
              <w:numPr>
                <w:ilvl w:val="0"/>
                <w:numId w:val="2"/>
              </w:numPr>
              <w:spacing w:before="30" w:after="30"/>
            </w:pPr>
            <w:r>
              <w:rPr>
                <w:rFonts w:ascii="Arial" w:cs="Arial" w:eastAsia="Arial" w:hAnsi="Arial"/>
                <w:sz w:val="21"/>
                <w:szCs w:val="21"/>
              </w:rPr>
              <w:t xml:space="preserve">On success: card dims and "Completed" badge appears</w:t>
            </w:r>
          </w:p>
          <w:p>
            <w:pPr>
              <w:pStyle w:val="ListParagraph"/>
              <w:numPr>
                <w:ilvl w:val="0"/>
                <w:numId w:val="2"/>
              </w:numPr>
              <w:spacing w:before="30" w:after="30"/>
            </w:pPr>
            <w:r>
              <w:rPr>
                <w:rFonts w:ascii="Arial" w:cs="Arial" w:eastAsia="Arial" w:hAnsi="Arial"/>
                <w:sz w:val="21"/>
                <w:szCs w:val="21"/>
              </w:rPr>
              <w:t xml:space="preserve">Each location must be independently confirmed</w:t>
            </w:r>
          </w:p>
        </w:tc>
      </w:tr>
      <w:tr>
        <w:tc>
          <w:tcPr>
            <w:tcW w:type="dxa" w:w="900"/>
            <w:tcBorders>
              <w:top w:val="single" w:color="C4BFB5" w:sz="1"/>
              <w:left w:val="single" w:color="C4BFB5" w:sz="1"/>
              <w:bottom w:val="single" w:color="C4BFB5" w:sz="1"/>
              <w:right w:val="none"/>
            </w:tcBorders>
            <w:shd w:fill="1F6138" w:val="clear"/>
            <w:tcMar>
              <w:top w:type="dxa" w:w="100"/>
              <w:left w:type="dxa" w:w="120"/>
              <w:bottom w:type="dxa" w:w="100"/>
              <w:right w:type="dxa" w:w="120"/>
            </w:tcMar>
            <w:vAlign w:val="center"/>
          </w:tcPr>
          <w:p>
            <w:pPr>
              <w:spacing w:before="0" w:after="0"/>
              <w:jc w:val="center"/>
            </w:pPr>
            <w:r>
              <w:rPr>
                <w:rFonts w:ascii="Arial" w:cs="Arial" w:eastAsia="Arial" w:hAnsi="Arial"/>
                <w:b/>
                <w:bCs/>
                <w:color w:val="FFFFFF"/>
                <w:sz w:val="28"/>
                <w:szCs w:val="28"/>
              </w:rPr>
              <w:t xml:space="preserve">11</w:t>
            </w:r>
          </w:p>
        </w:tc>
        <w:tc>
          <w:tcPr>
            <w:tcW w:type="dxa" w:w="2200"/>
            <w:tcBorders>
              <w:top w:val="single" w:color="C4BFB5" w:sz="1"/>
              <w:left w:val="none"/>
              <w:bottom w:val="single" w:color="C4BFB5" w:sz="1"/>
              <w:right w:val="single" w:color="C4BFB5" w:sz="1"/>
            </w:tcBorders>
            <w:shd w:fill="D6F0DC" w:val="clear"/>
            <w:tcMar>
              <w:top w:type="dxa" w:w="100"/>
              <w:left w:type="dxa" w:w="140"/>
              <w:bottom w:type="dxa" w:w="100"/>
              <w:right w:type="dxa" w:w="140"/>
            </w:tcMar>
            <w:vAlign w:val="center"/>
          </w:tcPr>
          <w:p>
            <w:pPr>
              <w:spacing w:before="0" w:after="0"/>
            </w:pPr>
            <w:r>
              <w:rPr>
                <w:rFonts w:ascii="Arial" w:cs="Arial" w:eastAsia="Arial" w:hAnsi="Arial"/>
                <w:b/>
                <w:bCs/>
                <w:color w:val="0D3320"/>
                <w:sz w:val="22"/>
                <w:szCs w:val="22"/>
              </w:rPr>
              <w:t xml:space="preserve">Generate &amp; Download Report</w:t>
            </w:r>
          </w:p>
        </w:tc>
        <w:tc>
          <w:tcPr>
            <w:tcW w:type="dxa" w:w="62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clicks "Generate &amp; Download Report". The system creates an HTML file formatted to match the Excel template B.1.4 layout and triggers a browser download. The report is simultaneously saved to the Admin dashboard.</w:t>
            </w:r>
          </w:p>
          <w:p>
            <w:pPr>
              <w:pStyle w:val="ListParagraph"/>
              <w:numPr>
                <w:ilvl w:val="0"/>
                <w:numId w:val="2"/>
              </w:numPr>
              <w:spacing w:before="30" w:after="30"/>
            </w:pPr>
            <w:r>
              <w:rPr>
                <w:rFonts w:ascii="Arial" w:cs="Arial" w:eastAsia="Arial" w:hAnsi="Arial"/>
                <w:sz w:val="21"/>
                <w:szCs w:val="21"/>
              </w:rPr>
              <w:t xml:space="preserve">File format: .html (can be opened in Excel, printed to PDF)</w:t>
            </w:r>
          </w:p>
          <w:p>
            <w:pPr>
              <w:pStyle w:val="ListParagraph"/>
              <w:numPr>
                <w:ilvl w:val="0"/>
                <w:numId w:val="2"/>
              </w:numPr>
              <w:spacing w:before="30" w:after="30"/>
            </w:pPr>
            <w:r>
              <w:rPr>
                <w:rFonts w:ascii="Arial" w:cs="Arial" w:eastAsia="Arial" w:hAnsi="Arial"/>
                <w:sz w:val="21"/>
                <w:szCs w:val="21"/>
              </w:rPr>
              <w:t xml:space="preserve">File naming: CashReasonableness_LOCATION_FROMDATE_to_TODATE.html</w:t>
            </w:r>
          </w:p>
          <w:p>
            <w:pPr>
              <w:pStyle w:val="ListParagraph"/>
              <w:numPr>
                <w:ilvl w:val="0"/>
                <w:numId w:val="2"/>
              </w:numPr>
              <w:spacing w:before="30" w:after="30"/>
            </w:pPr>
            <w:r>
              <w:rPr>
                <w:rFonts w:ascii="Arial" w:cs="Arial" w:eastAsia="Arial" w:hAnsi="Arial"/>
                <w:sz w:val="21"/>
                <w:szCs w:val="21"/>
              </w:rPr>
              <w:t xml:space="preserve">Report includes: header info, calculation table, conclusions, Section A daily data</w:t>
            </w:r>
          </w:p>
          <w:p>
            <w:pPr>
              <w:pStyle w:val="ListParagraph"/>
              <w:numPr>
                <w:ilvl w:val="0"/>
                <w:numId w:val="2"/>
              </w:numPr>
              <w:spacing w:before="30" w:after="30"/>
            </w:pPr>
            <w:r>
              <w:rPr>
                <w:rFonts w:ascii="Arial" w:cs="Arial" w:eastAsia="Arial" w:hAnsi="Arial"/>
                <w:sz w:val="21"/>
                <w:szCs w:val="21"/>
              </w:rPr>
              <w:t xml:space="preserve">Yellow-highlighted cells in the report indicate auto-calculated fields</w:t>
            </w:r>
          </w:p>
          <w:p>
            <w:pPr>
              <w:pStyle w:val="ListParagraph"/>
              <w:numPr>
                <w:ilvl w:val="0"/>
                <w:numId w:val="2"/>
              </w:numPr>
              <w:spacing w:before="30" w:after="30"/>
            </w:pPr>
            <w:r>
              <w:rPr>
                <w:rFonts w:ascii="Arial" w:cs="Arial" w:eastAsia="Arial" w:hAnsi="Arial"/>
                <w:sz w:val="21"/>
                <w:szCs w:val="21"/>
              </w:rPr>
              <w:t xml:space="preserve">Report is saved to Admin dashboard and visible immediately</w:t>
            </w:r>
          </w:p>
        </w:tc>
      </w:tr>
    </w:tbl>
    <w:p>
      <w:pPr>
        <w:spacing w:before="160" w:after="80"/>
      </w:pPr>
    </w:p>
    <w:p>
      <w:r>
        <w:br w:type="page"/>
      </w:r>
    </w:p>
    <w:p>
      <w:pPr>
        <w:pStyle w:val="Heading1"/>
        <w:spacing w:before="400" w:after="160"/>
      </w:pPr>
      <w:r>
        <w:rPr>
          <w:rFonts w:ascii="Arial" w:cs="Arial" w:eastAsia="Arial" w:hAnsi="Arial"/>
          <w:b/>
          <w:bCs/>
          <w:color w:val="0D3320"/>
          <w:sz w:val="34"/>
          <w:szCs w:val="34"/>
        </w:rPr>
        <w:t xml:space="preserve">7. Report Structure (Excel Template B.1.4 Replica)</w:t>
      </w:r>
    </w:p>
    <w:p>
      <w:pPr>
        <w:spacing w:before="60" w:after="100" w:line="276" w:lineRule="auto"/>
      </w:pPr>
      <w:r>
        <w:rPr>
          <w:rFonts w:ascii="Arial" w:cs="Arial" w:eastAsia="Arial" w:hAnsi="Arial"/>
          <w:sz w:val="22"/>
          <w:szCs w:val="22"/>
        </w:rPr>
        <w:t xml:space="preserve">The generated report replicates the format of the Excel template B.1.4 — the existing Cashier’s Fund Reasonableness worksheet used by Canteen Vending Services. The structure is:</w:t>
      </w:r>
    </w:p>
    <w:p>
      <w:pPr>
        <w:spacing w:before="80" w:after="80"/>
      </w:pPr>
    </w:p>
    <w:p>
      <w:pPr>
        <w:pStyle w:val="Heading2"/>
        <w:spacing w:before="300" w:after="120"/>
      </w:pPr>
      <w:r>
        <w:rPr>
          <w:rFonts w:ascii="Arial" w:cs="Arial" w:eastAsia="Arial" w:hAnsi="Arial"/>
          <w:b/>
          <w:bCs/>
          <w:color w:val="1F6138"/>
          <w:sz w:val="28"/>
          <w:szCs w:val="28"/>
        </w:rPr>
        <w:t xml:space="preserve">7.1 Report Header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Canteen Location</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Cash room location(s) included in this report</w:t>
            </w:r>
          </w:p>
        </w:tc>
      </w:tr>
      <w:tr>
        <w:tc>
          <w:tcPr>
            <w:tcW w:type="dxa" w:w="2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Canteen Cost Center</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Operation number (e.g. 5082 for Appleton/Wausau)</w:t>
            </w:r>
          </w:p>
        </w:tc>
      </w:tr>
      <w:tr>
        <w:tc>
          <w:tcPr>
            <w:tcW w:type="dxa" w:w="2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Test Performed</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Always: "Cashier's Fund Reasonableness"</w:t>
            </w:r>
          </w:p>
        </w:tc>
      </w:tr>
      <w:tr>
        <w:tc>
          <w:tcPr>
            <w:tcW w:type="dxa" w:w="2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Prepared By</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name (auto-filled, editable)</w:t>
            </w:r>
          </w:p>
        </w:tc>
      </w:tr>
      <w:tr>
        <w:tc>
          <w:tcPr>
            <w:tcW w:type="dxa" w:w="2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Date</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Date the report was generated</w:t>
            </w:r>
          </w:p>
        </w:tc>
      </w:tr>
      <w:tr>
        <w:tc>
          <w:tcPr>
            <w:tcW w:type="dxa" w:w="2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Scope</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Free-text scope entered by controller</w:t>
            </w:r>
          </w:p>
        </w:tc>
      </w:tr>
      <w:tr>
        <w:tc>
          <w:tcPr>
            <w:tcW w:type="dxa" w:w="2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Period</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Fiscal period label (e.g. P4 – P5, Q2 FY2026)</w:t>
            </w:r>
          </w:p>
        </w:tc>
      </w:tr>
    </w:tbl>
    <w:p>
      <w:pPr>
        <w:spacing w:before="120" w:after="80"/>
      </w:pPr>
    </w:p>
    <w:p>
      <w:pPr>
        <w:pStyle w:val="Heading2"/>
        <w:spacing w:before="300" w:after="120"/>
      </w:pPr>
      <w:r>
        <w:rPr>
          <w:rFonts w:ascii="Arial" w:cs="Arial" w:eastAsia="Arial" w:hAnsi="Arial"/>
          <w:b/>
          <w:bCs/>
          <w:color w:val="1F6138"/>
          <w:sz w:val="28"/>
          <w:szCs w:val="28"/>
        </w:rPr>
        <w:t xml:space="preserve">7.2 Calculation Table</w:t>
      </w:r>
    </w:p>
    <w:p>
      <w:pPr>
        <w:spacing w:before="60" w:after="100" w:line="276" w:lineRule="auto"/>
      </w:pPr>
      <w:r>
        <w:rPr>
          <w:rFonts w:ascii="Arial" w:cs="Arial" w:eastAsia="Arial" w:hAnsi="Arial"/>
          <w:sz w:val="22"/>
          <w:szCs w:val="22"/>
        </w:rPr>
        <w:t xml:space="preserve">Parallel columns — one per sub-location. Yellow background = auto-calculated or auto-sourced field.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Row</w:t>
            </w:r>
          </w:p>
        </w:tc>
        <w:tc>
          <w:tcPr>
            <w:tcW w:type="dxa" w:w="268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Appleton</w:t>
            </w:r>
          </w:p>
        </w:tc>
        <w:tc>
          <w:tcPr>
            <w:tcW w:type="dxa" w:w="268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Wausau</w:t>
            </w:r>
          </w:p>
        </w:tc>
      </w:tr>
      <w:tr>
        <w:tc>
          <w:tcPr>
            <w:tcW w:type="dxa" w:w="4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Uncounted Funds (Form 403 — Line F)</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 across period</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 across period</w:t>
            </w:r>
          </w:p>
        </w:tc>
      </w:tr>
      <w:tr>
        <w:tc>
          <w:tcPr>
            <w:tcW w:type="dxa" w:w="4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Outstanding Changers (Form 403 — Line H)</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 across period</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 across period</w:t>
            </w:r>
          </w:p>
        </w:tc>
      </w:tr>
      <w:tr>
        <w:tc>
          <w:tcPr>
            <w:tcW w:type="dxa" w:w="4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Replenishment (Form 403 — Line J)</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 across period</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 across period</w:t>
            </w:r>
          </w:p>
        </w:tc>
      </w:tr>
      <w:tr>
        <w:tc>
          <w:tcPr>
            <w:tcW w:type="dxa" w:w="4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Coin Purchase in Transit (Line K)</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 across period</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Max across period</w:t>
            </w:r>
          </w:p>
        </w:tc>
      </w:tr>
      <w:tr>
        <w:tc>
          <w:tcPr>
            <w:tcW w:type="dxa" w:w="4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Total (Highest Balance)</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 + H + J + K</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 + H + J + K</w:t>
            </w:r>
          </w:p>
        </w:tc>
      </w:tr>
      <w:tr>
        <w:tc>
          <w:tcPr>
            <w:tcW w:type="dxa" w:w="4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Factor</w:t>
            </w:r>
          </w:p>
        </w:tc>
        <w:tc>
          <w:tcPr>
            <w:tcW w:type="dxa" w:w="268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1.50 (selected)</w:t>
            </w:r>
          </w:p>
        </w:tc>
        <w:tc>
          <w:tcPr>
            <w:tcW w:type="dxa" w:w="268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1.50 (selected)</w:t>
            </w:r>
          </w:p>
        </w:tc>
      </w:tr>
      <w:tr>
        <w:tc>
          <w:tcPr>
            <w:tcW w:type="dxa" w:w="4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Expected Fund Amount</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Total × Factor</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Total × Factor</w:t>
            </w:r>
          </w:p>
        </w:tc>
      </w:tr>
      <w:tr>
        <w:tc>
          <w:tcPr>
            <w:tcW w:type="dxa" w:w="4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Actual Fund Amount</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Highest fund balance (auto)</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Highest fund balance (auto)</w:t>
            </w:r>
          </w:p>
        </w:tc>
      </w:tr>
      <w:tr>
        <w:tc>
          <w:tcPr>
            <w:tcW w:type="dxa" w:w="4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Over/(Under) Funded By</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Actual − Expected</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Actual − Expected</w:t>
            </w:r>
          </w:p>
        </w:tc>
      </w:tr>
      <w:tr>
        <w:tc>
          <w:tcPr>
            <w:tcW w:type="dxa" w:w="4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Less Cushion Permitted</w:t>
            </w:r>
          </w:p>
        </w:tc>
        <w:tc>
          <w:tcPr>
            <w:tcW w:type="dxa" w:w="268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−$5,000 (editable)</w:t>
            </w:r>
          </w:p>
        </w:tc>
        <w:tc>
          <w:tcPr>
            <w:tcW w:type="dxa" w:w="268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−$5,000 (editable)</w:t>
            </w:r>
          </w:p>
        </w:tc>
      </w:tr>
      <w:tr>
        <w:tc>
          <w:tcPr>
            <w:tcW w:type="dxa" w:w="4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Net Result</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(Over/Under) + Cushion</w:t>
            </w:r>
          </w:p>
        </w:tc>
        <w:tc>
          <w:tcPr>
            <w:tcW w:type="dxa" w:w="268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(Over/Under) + Cushion</w:t>
            </w:r>
          </w:p>
        </w:tc>
      </w:tr>
    </w:tbl>
    <w:p>
      <w:pPr>
        <w:spacing w:before="120" w:after="80"/>
      </w:pPr>
    </w:p>
    <w:p>
      <w:pPr>
        <w:pStyle w:val="Heading2"/>
        <w:spacing w:before="300" w:after="120"/>
      </w:pPr>
      <w:r>
        <w:rPr>
          <w:rFonts w:ascii="Arial" w:cs="Arial" w:eastAsia="Arial" w:hAnsi="Arial"/>
          <w:b/>
          <w:bCs/>
          <w:color w:val="1F6138"/>
          <w:sz w:val="28"/>
          <w:szCs w:val="28"/>
        </w:rPr>
        <w:t xml:space="preserve">7.3 Conclusion Section (per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Conclusion Notes</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Mandatory text entered by controller. Appears in report and is stored in Admin dashboard.</w:t>
            </w:r>
          </w:p>
        </w:tc>
      </w:tr>
      <w:tr>
        <w:tc>
          <w:tcPr>
            <w:tcW w:type="dxa" w:w="26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Required Actions</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Yes / No dropdown. If Yes: action details are shown in the report.</w:t>
            </w:r>
          </w:p>
        </w:tc>
      </w:tr>
      <w:tr>
        <w:tc>
          <w:tcPr>
            <w:tcW w:type="dxa" w:w="26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Action Details</w:t>
            </w:r>
          </w:p>
        </w:tc>
        <w:tc>
          <w:tcPr>
            <w:tcW w:type="dxa" w:w="67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Free-text if Required Actions = Yes (e.g. date of deposit, amount to reduce).</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left w:val="none"/>
              <w:bottom w:val="none"/>
              <w:right w:val="none"/>
            </w:tcBorders>
            <w:shd w:fill="D97706"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 From the Meeting (Shivani Gupta + Jamie Spoor)</w:t>
            </w:r>
          </w:p>
        </w:tc>
      </w:tr>
      <w:tr>
        <w:tc>
          <w:tcPr>
            <w:tcBorders>
              <w:top w:val="none"/>
              <w:left w:val="none"/>
              <w:bottom w:val="none"/>
              <w:right w:val="none"/>
            </w:tcBorders>
            <w:shd w:fill="FFFBEB"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Shivani: "We should have the controller add the notes on it — if overage, the date the overage was deposited or will be deposited."</w:t>
            </w:r>
          </w:p>
          <w:p>
            <w:pPr>
              <w:spacing w:before="60" w:after="100" w:line="276" w:lineRule="auto"/>
            </w:pPr>
            <w:r>
              <w:rPr>
                <w:rFonts w:ascii="Arial" w:cs="Arial" w:eastAsia="Arial" w:hAnsi="Arial"/>
                <w:sz w:val="22"/>
                <w:szCs w:val="22"/>
              </w:rPr>
              <w:t xml:space="preserve">Jamie: "I almost feel like you have to have this part saying when they deposited it and which day they deposited if they’re depositing funds."</w:t>
            </w:r>
          </w:p>
          <w:p>
            <w:pPr>
              <w:spacing w:before="60" w:after="100" w:line="276" w:lineRule="auto"/>
            </w:pPr>
            <w:r>
              <w:rPr>
                <w:rFonts w:ascii="Arial" w:cs="Arial" w:eastAsia="Arial" w:hAnsi="Arial"/>
                <w:sz w:val="22"/>
                <w:szCs w:val="22"/>
              </w:rPr>
              <w:t xml:space="preserve">Shivani: "They should be picking the factor and in the conclusion notes, we should have the controller add notes on it."</w:t>
            </w:r>
          </w:p>
        </w:tc>
      </w:tr>
    </w:tbl>
    <w:p>
      <w:pPr>
        <w:spacing w:before="120" w:after="80"/>
      </w:pPr>
    </w:p>
    <w:p>
      <w:pPr>
        <w:pStyle w:val="Heading2"/>
        <w:spacing w:before="300" w:after="120"/>
      </w:pPr>
      <w:r>
        <w:rPr>
          <w:rFonts w:ascii="Arial" w:cs="Arial" w:eastAsia="Arial" w:hAnsi="Arial"/>
          <w:b/>
          <w:bCs/>
          <w:color w:val="1F6138"/>
          <w:sz w:val="28"/>
          <w:szCs w:val="28"/>
        </w:rPr>
        <w:t xml:space="preserve">7.4 Section A — Daily Data (Compare Periods)</w:t>
      </w:r>
    </w:p>
    <w:p>
      <w:pPr>
        <w:spacing w:before="60" w:after="100" w:line="276" w:lineRule="auto"/>
      </w:pPr>
      <w:r>
        <w:rPr>
          <w:rFonts w:ascii="Arial" w:cs="Arial" w:eastAsia="Arial" w:hAnsi="Arial"/>
          <w:sz w:val="22"/>
          <w:szCs w:val="22"/>
        </w:rPr>
        <w:t xml:space="preserve">At the bottom of the report, the loose currency (Section A) balances from each daily cashroom form submission are displayed in a table grouped by fiscal period. This section mirrors the "Compare Months" section of the Excel template B.1.4.</w:t>
      </w:r>
    </w:p>
    <w:p>
      <w:pPr>
        <w:spacing w:before="80" w:after="80"/>
      </w:pPr>
    </w:p>
    <w:p>
      <w:pPr>
        <w:pStyle w:val="ListParagraph"/>
        <w:numPr>
          <w:ilvl w:val="0"/>
          <w:numId w:val="3"/>
        </w:numPr>
        <w:spacing w:before="40" w:after="60"/>
      </w:pPr>
      <w:r>
        <w:rPr>
          <w:rFonts w:ascii="Arial" w:cs="Arial" w:eastAsia="Arial" w:hAnsi="Arial"/>
          <w:b w:val="false"/>
          <w:bCs w:val="false"/>
          <w:sz w:val="22"/>
          <w:szCs w:val="22"/>
        </w:rPr>
        <w:t xml:space="preserve">Columns: per location × per fiscal period (e.g. APPLETON | P4, APPLETON | P5, WAUSAU | P4, WAUSAU | P5)</w:t>
      </w:r>
    </w:p>
    <w:p>
      <w:pPr>
        <w:pStyle w:val="ListParagraph"/>
        <w:numPr>
          <w:ilvl w:val="0"/>
          <w:numId w:val="3"/>
        </w:numPr>
        <w:spacing w:before="40" w:after="60"/>
      </w:pPr>
      <w:r>
        <w:rPr>
          <w:rFonts w:ascii="Arial" w:cs="Arial" w:eastAsia="Arial" w:hAnsi="Arial"/>
          <w:b w:val="false"/>
          <w:bCs w:val="false"/>
          <w:sz w:val="22"/>
          <w:szCs w:val="22"/>
        </w:rPr>
        <w:t xml:space="preserve">Rows: one per calendar date within the selected range (only dates with actual submission data appear)</w:t>
      </w:r>
    </w:p>
    <w:p>
      <w:pPr>
        <w:pStyle w:val="ListParagraph"/>
        <w:numPr>
          <w:ilvl w:val="0"/>
          <w:numId w:val="3"/>
        </w:numPr>
        <w:spacing w:before="40" w:after="60"/>
      </w:pPr>
      <w:r>
        <w:rPr>
          <w:rFonts w:ascii="Arial" w:cs="Arial" w:eastAsia="Arial" w:hAnsi="Arial"/>
          <w:b w:val="false"/>
          <w:bCs w:val="false"/>
          <w:sz w:val="22"/>
          <w:szCs w:val="22"/>
        </w:rPr>
        <w:t xml:space="preserve">Peak balance is highlighted in green</w:t>
      </w:r>
    </w:p>
    <w:p>
      <w:pPr>
        <w:pStyle w:val="ListParagraph"/>
        <w:numPr>
          <w:ilvl w:val="0"/>
          <w:numId w:val="3"/>
        </w:numPr>
        <w:spacing w:before="40" w:after="60"/>
      </w:pPr>
      <w:r>
        <w:rPr>
          <w:rFonts w:ascii="Arial" w:cs="Arial" w:eastAsia="Arial" w:hAnsi="Arial"/>
          <w:b w:val="false"/>
          <w:bCs w:val="false"/>
          <w:sz w:val="22"/>
          <w:szCs w:val="22"/>
        </w:rPr>
        <w:t xml:space="preserve">Average row at the bottom (yellow background)</w:t>
      </w:r>
    </w:p>
    <w:p>
      <w:pPr>
        <w:pStyle w:val="ListParagraph"/>
        <w:numPr>
          <w:ilvl w:val="0"/>
          <w:numId w:val="3"/>
        </w:numPr>
        <w:spacing w:before="40" w:after="60"/>
      </w:pPr>
      <w:r>
        <w:rPr>
          <w:rFonts w:ascii="Arial" w:cs="Arial" w:eastAsia="Arial" w:hAnsi="Arial"/>
          <w:b w:val="false"/>
          <w:bCs w:val="false"/>
          <w:sz w:val="22"/>
          <w:szCs w:val="22"/>
        </w:rPr>
        <w:t xml:space="preserve">Section A = loose currency in the room after deposit has been prepared — no other sections included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left w:val="none"/>
              <w:bottom w:val="none"/>
              <w:right w:val="none"/>
            </w:tcBorders>
            <w:shd w:fill="2563E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 From the Meeting (Jamie + Shivani)</w:t>
            </w:r>
          </w:p>
        </w:tc>
      </w:tr>
      <w:tr>
        <w:tc>
          <w:tcPr>
            <w:tcBorders>
              <w:top w:val="none"/>
              <w:left w:val="none"/>
              <w:bottom w:val="none"/>
              <w:right w:val="none"/>
            </w:tcBorders>
            <w:shd w:fill="EFF6FF"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Jamie: "They run the loose currency in the room after the deposit has been prepared. They just kind of get an average total and look at how does it trend. And they already do that on the prototype — this would be Section A on the cash room sheet."</w:t>
            </w:r>
          </w:p>
          <w:p>
            <w:pPr>
              <w:spacing w:before="60" w:after="100" w:line="276" w:lineRule="auto"/>
            </w:pPr>
            <w:r>
              <w:rPr>
                <w:rFonts w:ascii="Arial" w:cs="Arial" w:eastAsia="Arial" w:hAnsi="Arial"/>
                <w:sz w:val="22"/>
                <w:szCs w:val="22"/>
              </w:rPr>
              <w:t xml:space="preserve">Shivani: "If you can include this at the bottom in this format — because again, you have the data, it’s just a matter of presenting it this way."</w:t>
            </w:r>
          </w:p>
          <w:p>
            <w:pPr>
              <w:spacing w:before="60" w:after="100" w:line="276" w:lineRule="auto"/>
            </w:pPr>
            <w:r>
              <w:rPr>
                <w:rFonts w:ascii="Arial" w:cs="Arial" w:eastAsia="Arial" w:hAnsi="Arial"/>
                <w:sz w:val="22"/>
                <w:szCs w:val="22"/>
              </w:rPr>
              <w:t xml:space="preserve">Pankhuri: "Jamie, it is always going to be Section A only, right? I mean, this is basically representing the currency — we don’t have to consider other sections." Jamie: "No. Yeah, it’s just those few things."</w:t>
            </w:r>
          </w:p>
        </w:tc>
      </w:tr>
    </w:tbl>
    <w:p>
      <w:pPr>
        <w:spacing w:before="80" w:after="80"/>
      </w:pPr>
    </w:p>
    <w:p>
      <w:r>
        <w:br w:type="page"/>
      </w:r>
    </w:p>
    <w:p>
      <w:pPr>
        <w:pStyle w:val="Heading1"/>
        <w:spacing w:before="400" w:after="160"/>
      </w:pPr>
      <w:r>
        <w:rPr>
          <w:rFonts w:ascii="Arial" w:cs="Arial" w:eastAsia="Arial" w:hAnsi="Arial"/>
          <w:b/>
          <w:bCs/>
          <w:color w:val="0D3320"/>
          <w:sz w:val="34"/>
          <w:szCs w:val="34"/>
        </w:rPr>
        <w:t xml:space="preserve">8. Admin Dashboard — Reasonableness Reports View</w:t>
      </w:r>
    </w:p>
    <w:p>
      <w:pPr>
        <w:spacing w:before="60" w:after="100" w:line="276" w:lineRule="auto"/>
      </w:pPr>
      <w:r>
        <w:rPr>
          <w:rFonts w:ascii="Arial" w:cs="Arial" w:eastAsia="Arial" w:hAnsi="Arial"/>
          <w:sz w:val="22"/>
          <w:szCs w:val="22"/>
        </w:rPr>
        <w:t xml:space="preserve">All completed Cash Reasonableness Test reports are visible to Admin users via the Admin → Reasonableness Reports tab. This gives Jamie Spoor and other admins a consolidated view without having to receive individual emails or manage files.</w:t>
      </w:r>
    </w:p>
    <w:p>
      <w:pPr>
        <w:spacing w:before="80" w:after="80"/>
      </w:pPr>
    </w:p>
    <w:p>
      <w:pPr>
        <w:pStyle w:val="Heading2"/>
        <w:spacing w:before="300" w:after="120"/>
      </w:pPr>
      <w:r>
        <w:rPr>
          <w:rFonts w:ascii="Arial" w:cs="Arial" w:eastAsia="Arial" w:hAnsi="Arial"/>
          <w:b/>
          <w:bCs/>
          <w:color w:val="1F6138"/>
          <w:sz w:val="28"/>
          <w:szCs w:val="28"/>
        </w:rPr>
        <w:t xml:space="preserve">8.1 Reports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Column</w:t>
            </w:r>
          </w:p>
        </w:tc>
        <w:tc>
          <w:tcPr>
            <w:tcW w:type="dxa" w:w="65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Description</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Cash Room Location</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Name(s) of the location(s) included (e.g. APPLETON / WAUSAU)</w:t>
            </w:r>
          </w:p>
        </w:tc>
      </w:tr>
      <w:tr>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Cost Center</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Operation number (e.g. 5082)</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Last Test Completed Date</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Date the report was saved/submitted</w:t>
            </w:r>
          </w:p>
        </w:tc>
      </w:tr>
      <w:tr>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Period Tested</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Date range selected (e.g. Jan 1, 2026 – Feb 28, 2026)</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Status</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"Reasonable" (green) or "Overfunded" (red) based on Net Result</w:t>
            </w:r>
          </w:p>
        </w:tc>
      </w:tr>
      <w:tr>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Notes (Preview)</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First 40 characters of conclusion notes per sub-location</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Factor Used</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1.25× or 1.50×</w:t>
            </w:r>
          </w:p>
        </w:tc>
      </w:tr>
      <w:tr>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Prepared By</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Controller who generated the report</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View Link</w:t>
            </w:r>
          </w:p>
        </w:tc>
        <w:tc>
          <w:tcPr>
            <w:tcW w:type="dxa" w:w="6560"/>
            <w:tcBorders>
              <w:top w:val="single" w:color="C4BFB5" w:sz="1"/>
              <w:left w:val="single" w:color="C4BFB5" w:sz="1"/>
              <w:bottom w:val="single" w:color="C4BFB5" w:sz="1"/>
              <w:right w:val="single" w:color="C4BFB5" w:sz="1"/>
            </w:tcBorders>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Opens full report detail modal with all calculations and conclusions</w:t>
            </w:r>
          </w:p>
        </w:tc>
      </w:tr>
    </w:tbl>
    <w:p>
      <w:pPr>
        <w:spacing w:before="120" w:after="80"/>
      </w:pPr>
    </w:p>
    <w:p>
      <w:pPr>
        <w:pStyle w:val="Heading2"/>
        <w:spacing w:before="300" w:after="120"/>
      </w:pPr>
      <w:r>
        <w:rPr>
          <w:rFonts w:ascii="Arial" w:cs="Arial" w:eastAsia="Arial" w:hAnsi="Arial"/>
          <w:b/>
          <w:bCs/>
          <w:color w:val="1F6138"/>
          <w:sz w:val="28"/>
          <w:szCs w:val="28"/>
        </w:rPr>
        <w:t xml:space="preserve">8.2 Admin Detail View</w:t>
      </w:r>
    </w:p>
    <w:p>
      <w:pPr>
        <w:spacing w:before="60" w:after="100" w:line="276" w:lineRule="auto"/>
      </w:pPr>
      <w:r>
        <w:rPr>
          <w:rFonts w:ascii="Arial" w:cs="Arial" w:eastAsia="Arial" w:hAnsi="Arial"/>
          <w:sz w:val="22"/>
          <w:szCs w:val="22"/>
        </w:rPr>
        <w:t xml:space="preserve">Clicking "View" on any report row opens a full detail modal showing:</w:t>
      </w:r>
    </w:p>
    <w:p>
      <w:pPr>
        <w:pStyle w:val="ListParagraph"/>
        <w:numPr>
          <w:ilvl w:val="0"/>
          <w:numId w:val="3"/>
        </w:numPr>
        <w:spacing w:before="40" w:after="60"/>
      </w:pPr>
      <w:r>
        <w:rPr>
          <w:rFonts w:ascii="Arial" w:cs="Arial" w:eastAsia="Arial" w:hAnsi="Arial"/>
          <w:b w:val="false"/>
          <w:bCs w:val="false"/>
          <w:sz w:val="22"/>
          <w:szCs w:val="22"/>
        </w:rPr>
        <w:t xml:space="preserve">Location, Cost Center, Period, Test Date, Prepared By, Overall Status</w:t>
      </w:r>
    </w:p>
    <w:p>
      <w:pPr>
        <w:pStyle w:val="ListParagraph"/>
        <w:numPr>
          <w:ilvl w:val="0"/>
          <w:numId w:val="3"/>
        </w:numPr>
        <w:spacing w:before="40" w:after="60"/>
      </w:pPr>
      <w:r>
        <w:rPr>
          <w:rFonts w:ascii="Arial" w:cs="Arial" w:eastAsia="Arial" w:hAnsi="Arial"/>
          <w:b w:val="false"/>
          <w:bCs w:val="false"/>
          <w:sz w:val="22"/>
          <w:szCs w:val="22"/>
        </w:rPr>
        <w:t xml:space="preserve">Per sub-location: Total, Expected Fund, Actual Fund, Over/Under, Cushion, Net Result</w:t>
      </w:r>
    </w:p>
    <w:p>
      <w:pPr>
        <w:pStyle w:val="ListParagraph"/>
        <w:numPr>
          <w:ilvl w:val="0"/>
          <w:numId w:val="3"/>
        </w:numPr>
        <w:spacing w:before="40" w:after="60"/>
      </w:pPr>
      <w:r>
        <w:rPr>
          <w:rFonts w:ascii="Arial" w:cs="Arial" w:eastAsia="Arial" w:hAnsi="Arial"/>
          <w:b w:val="false"/>
          <w:bCs w:val="false"/>
          <w:sz w:val="22"/>
          <w:szCs w:val="22"/>
        </w:rPr>
        <w:t xml:space="preserve">Conclusion Notes per location</w:t>
      </w:r>
    </w:p>
    <w:p>
      <w:pPr>
        <w:pStyle w:val="ListParagraph"/>
        <w:numPr>
          <w:ilvl w:val="0"/>
          <w:numId w:val="3"/>
        </w:numPr>
        <w:spacing w:before="40" w:after="60"/>
      </w:pPr>
      <w:r>
        <w:rPr>
          <w:rFonts w:ascii="Arial" w:cs="Arial" w:eastAsia="Arial" w:hAnsi="Arial"/>
          <w:b w:val="false"/>
          <w:bCs w:val="false"/>
          <w:sz w:val="22"/>
          <w:szCs w:val="22"/>
        </w:rPr>
        <w:t xml:space="preserve">Required Actions (Yes/No + details if Yes)</w:t>
      </w:r>
    </w:p>
    <w:p>
      <w:pPr>
        <w:pStyle w:val="ListParagraph"/>
        <w:numPr>
          <w:ilvl w:val="0"/>
          <w:numId w:val="3"/>
        </w:numPr>
        <w:spacing w:before="40" w:after="60"/>
      </w:pPr>
      <w:r>
        <w:rPr>
          <w:rFonts w:ascii="Arial" w:cs="Arial" w:eastAsia="Arial" w:hAnsi="Arial"/>
          <w:b w:val="false"/>
          <w:bCs w:val="false"/>
          <w:sz w:val="22"/>
          <w:szCs w:val="22"/>
        </w:rPr>
        <w:t xml:space="preserve">Report ID, timestamp, and saved-by user</w:t>
      </w:r>
    </w:p>
    <w:p>
      <w:pPr>
        <w:pStyle w:val="ListParagraph"/>
        <w:numPr>
          <w:ilvl w:val="0"/>
          <w:numId w:val="3"/>
        </w:numPr>
        <w:spacing w:before="40" w:after="60"/>
      </w:pPr>
      <w:r>
        <w:rPr>
          <w:rFonts w:ascii="Arial" w:cs="Arial" w:eastAsia="Arial" w:hAnsi="Arial"/>
          <w:b w:val="false"/>
          <w:bCs w:val="false"/>
          <w:sz w:val="22"/>
          <w:szCs w:val="22"/>
        </w:rPr>
        <w:t xml:space="preserve">"Re-download Excel Report" button to re-download the HTML report file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left w:val="none"/>
              <w:bottom w:val="none"/>
              <w:right w:val="none"/>
            </w:tcBorders>
            <w:shd w:fill="1F6138"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 From the Meeting (Shivani Gupta)</w:t>
            </w:r>
          </w:p>
        </w:tc>
      </w:tr>
      <w:tr>
        <w:tc>
          <w:tcPr>
            <w:tcBorders>
              <w:top w:val="none"/>
              <w:left w:val="none"/>
              <w:bottom w:val="none"/>
              <w:right w:val="none"/>
            </w:tcBorders>
            <w:shd w:fill="D6F0DC" w:val="clear"/>
            <w:tcMar>
              <w:top w:type="dxa" w:w="100"/>
              <w:left w:type="dxa" w:w="140"/>
              <w:bottom w:type="dxa" w:w="100"/>
              <w:right w:type="dxa" w:w="140"/>
            </w:tcMar>
          </w:tcPr>
          <w:p>
            <w:pPr>
              <w:spacing w:before="60" w:after="100" w:line="276" w:lineRule="auto"/>
            </w:pPr>
            <w:r>
              <w:rPr>
                <w:rFonts w:ascii="Arial" w:cs="Arial" w:eastAsia="Arial" w:hAnsi="Arial"/>
                <w:sz w:val="22"/>
                <w:szCs w:val="22"/>
              </w:rPr>
              <w:t xml:space="preserve">"We should have a report of all the cash rooms and the last date the cash reasonableness test was completed and the notes from it and the link — if the admin should be able to click on it and see the reasonableness test if they want."</w:t>
            </w:r>
          </w:p>
          <w:p>
            <w:pPr>
              <w:spacing w:before="60" w:after="100" w:line="276" w:lineRule="auto"/>
            </w:pPr>
            <w:r>
              <w:rPr>
                <w:rFonts w:ascii="Arial" w:cs="Arial" w:eastAsia="Arial" w:hAnsi="Arial"/>
                <w:sz w:val="22"/>
                <w:szCs w:val="22"/>
              </w:rPr>
              <w:t xml:space="preserve">"Jamie as an admin — I’m guessing you and Alara would have admin. You can go in and check everybody’s cash reasonableness test."</w:t>
            </w:r>
          </w:p>
        </w:tc>
      </w:tr>
    </w:tbl>
    <w:p>
      <w:pPr>
        <w:spacing w:before="80" w:after="80"/>
      </w:pPr>
    </w:p>
    <w:p>
      <w:r>
        <w:br w:type="page"/>
      </w:r>
    </w:p>
    <w:p>
      <w:pPr>
        <w:pStyle w:val="Heading1"/>
        <w:spacing w:before="400" w:after="160"/>
      </w:pPr>
      <w:r>
        <w:rPr>
          <w:rFonts w:ascii="Arial" w:cs="Arial" w:eastAsia="Arial" w:hAnsi="Arial"/>
          <w:b/>
          <w:bCs/>
          <w:color w:val="0D3320"/>
          <w:sz w:val="34"/>
          <w:szCs w:val="34"/>
        </w:rPr>
        <w:t xml:space="preserve">9. UI Field Specifications &amp; Validation Rules</w:t>
      </w:r>
    </w:p>
    <w:p>
      <w:pPr>
        <w:spacing w:before="80" w:after="80"/>
      </w:pPr>
    </w:p>
    <w:p>
      <w:pPr>
        <w:pStyle w:val="Heading2"/>
        <w:spacing w:before="300" w:after="120"/>
      </w:pPr>
      <w:r>
        <w:rPr>
          <w:rFonts w:ascii="Arial" w:cs="Arial" w:eastAsia="Arial" w:hAnsi="Arial"/>
          <w:b/>
          <w:bCs/>
          <w:color w:val="1F6138"/>
          <w:sz w:val="28"/>
          <w:szCs w:val="28"/>
        </w:rPr>
        <w:t xml:space="preserve">9.1 Step 1 — Parameter Selection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Field</w:t>
            </w:r>
          </w:p>
        </w:tc>
        <w:tc>
          <w:tcPr>
            <w:tcW w:type="dxa" w:w="14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Type</w:t>
            </w:r>
          </w:p>
        </w:tc>
        <w:tc>
          <w:tcPr>
            <w:tcW w:type="dxa" w:w="22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Required?</w:t>
            </w:r>
          </w:p>
        </w:tc>
        <w:tc>
          <w:tcPr>
            <w:tcW w:type="dxa" w:w="33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Notes</w:t>
            </w:r>
          </w:p>
        </w:tc>
      </w:tr>
      <w:tr>
        <w:tc>
          <w:tcPr>
            <w:tcW w:type="dxa" w:w="2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Cash Room Location</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Dropdown</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Yes</w:t>
            </w:r>
          </w:p>
        </w:tc>
        <w:tc>
          <w:tcPr>
            <w:tcW w:type="dxa" w:w="33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Grouped by unit. Auto-fills Cost Center and Sub-locations.</w:t>
            </w:r>
          </w:p>
        </w:tc>
      </w:tr>
      <w:tr>
        <w:tc>
          <w:tcPr>
            <w:tcW w:type="dxa" w:w="2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Cost Center</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Text (read-only)</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Auto-filled</w:t>
            </w:r>
          </w:p>
        </w:tc>
        <w:tc>
          <w:tcPr>
            <w:tcW w:type="dxa" w:w="33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Auto-populated from location config. Not editable by user.</w:t>
            </w:r>
          </w:p>
        </w:tc>
      </w:tr>
      <w:tr>
        <w:tc>
          <w:tcPr>
            <w:tcW w:type="dxa" w:w="2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Sub-locations</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Text (read-only)</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Auto-filled</w:t>
            </w:r>
          </w:p>
        </w:tc>
        <w:tc>
          <w:tcPr>
            <w:tcW w:type="dxa" w:w="33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Lists all cash rooms within the unit (e.g. APPLETON, WAUSAU).</w:t>
            </w:r>
          </w:p>
        </w:tc>
      </w:tr>
      <w:tr>
        <w:tc>
          <w:tcPr>
            <w:tcW w:type="dxa" w:w="2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Date Range — From</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Date picker</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Yes</w:t>
            </w:r>
          </w:p>
        </w:tc>
        <w:tc>
          <w:tcPr>
            <w:tcW w:type="dxa" w:w="33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Cannot exceed today. Cannot be after Date To.</w:t>
            </w:r>
          </w:p>
        </w:tc>
      </w:tr>
      <w:tr>
        <w:tc>
          <w:tcPr>
            <w:tcW w:type="dxa" w:w="2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Date Range — To</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Date picker</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Yes</w:t>
            </w:r>
          </w:p>
        </w:tc>
        <w:tc>
          <w:tcPr>
            <w:tcW w:type="dxa" w:w="33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Defaults to today. Cannot exceed today.</w:t>
            </w:r>
          </w:p>
        </w:tc>
      </w:tr>
      <w:tr>
        <w:tc>
          <w:tcPr>
            <w:tcW w:type="dxa" w:w="2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Factor Multiplier</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Dropdown</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Yes</w:t>
            </w:r>
          </w:p>
        </w:tc>
        <w:tc>
          <w:tcPr>
            <w:tcW w:type="dxa" w:w="33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1.25 or 1.50. Pre-suggested based on sub-location count.</w:t>
            </w:r>
          </w:p>
        </w:tc>
      </w:tr>
      <w:tr>
        <w:tc>
          <w:tcPr>
            <w:tcW w:type="dxa" w:w="2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Prepared By</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Text</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Yes</w:t>
            </w:r>
          </w:p>
        </w:tc>
        <w:tc>
          <w:tcPr>
            <w:tcW w:type="dxa" w:w="33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Defaults to logged-in user name. Editable.</w:t>
            </w:r>
          </w:p>
        </w:tc>
      </w:tr>
      <w:tr>
        <w:tc>
          <w:tcPr>
            <w:tcW w:type="dxa" w:w="2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Scope Description</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Text</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w:t>
            </w:r>
          </w:p>
        </w:tc>
        <w:tc>
          <w:tcPr>
            <w:tcW w:type="dxa" w:w="33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Appears in report header. Example: "P4 and P5, FY2026".</w:t>
            </w:r>
          </w:p>
        </w:tc>
      </w:tr>
    </w:tbl>
    <w:p>
      <w:pPr>
        <w:spacing w:before="120" w:after="80"/>
      </w:pPr>
    </w:p>
    <w:p>
      <w:pPr>
        <w:pStyle w:val="Heading2"/>
        <w:spacing w:before="300" w:after="120"/>
      </w:pPr>
      <w:r>
        <w:rPr>
          <w:rFonts w:ascii="Arial" w:cs="Arial" w:eastAsia="Arial" w:hAnsi="Arial"/>
          <w:b/>
          <w:bCs/>
          <w:color w:val="1F6138"/>
          <w:sz w:val="28"/>
          <w:szCs w:val="28"/>
        </w:rPr>
        <w:t xml:space="preserve">9.2 Step 2 — Calculation 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rPr>
          <w:tblHeader/>
        </w:trPr>
        <w:tc>
          <w:tcPr>
            <w:tcW w:type="dxa" w:w="28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Field</w:t>
            </w:r>
          </w:p>
        </w:tc>
        <w:tc>
          <w:tcPr>
            <w:tcW w:type="dxa" w:w="14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Editable?</w:t>
            </w:r>
          </w:p>
        </w:tc>
        <w:tc>
          <w:tcPr>
            <w:tcW w:type="dxa" w:w="20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Source</w:t>
            </w:r>
          </w:p>
        </w:tc>
        <w:tc>
          <w:tcPr>
            <w:tcW w:type="dxa" w:w="31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Validation</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Line F / H / J / K values</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w:t>
            </w:r>
          </w:p>
        </w:tc>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DB (auto)</w:t>
            </w:r>
          </w:p>
        </w:tc>
        <w:tc>
          <w:tcPr>
            <w:tcW w:type="dxa" w:w="31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Read-only. Pulled as max over date range.</w:t>
            </w:r>
          </w:p>
        </w:tc>
      </w:tr>
      <w:tr>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Total (Highest Balance)</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w:t>
            </w:r>
          </w:p>
        </w:tc>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Calculated</w:t>
            </w:r>
          </w:p>
        </w:tc>
        <w:tc>
          <w:tcPr>
            <w:tcW w:type="dxa" w:w="31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Read-only. Sum of F+H+J+K.</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Factor</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 (display)</w:t>
            </w:r>
          </w:p>
        </w:tc>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Controller</w:t>
            </w:r>
          </w:p>
        </w:tc>
        <w:tc>
          <w:tcPr>
            <w:tcW w:type="dxa" w:w="31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Shows selected factor. Not re-editable in table.</w:t>
            </w:r>
          </w:p>
        </w:tc>
      </w:tr>
      <w:tr>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Expected Fund Amount</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w:t>
            </w:r>
          </w:p>
        </w:tc>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Calculated</w:t>
            </w:r>
          </w:p>
        </w:tc>
        <w:tc>
          <w:tcPr>
            <w:tcW w:type="dxa" w:w="31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Read-only. Total × Factor.</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Actual Fund Amount</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w:t>
            </w:r>
          </w:p>
        </w:tc>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DB (auto)</w:t>
            </w:r>
          </w:p>
        </w:tc>
        <w:tc>
          <w:tcPr>
            <w:tcW w:type="dxa" w:w="31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Read-only. Highest cashier fund balance.</w:t>
            </w:r>
          </w:p>
        </w:tc>
      </w:tr>
      <w:tr>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Over/(Under) Funded By</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w:t>
            </w:r>
          </w:p>
        </w:tc>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Calculated</w:t>
            </w:r>
          </w:p>
        </w:tc>
        <w:tc>
          <w:tcPr>
            <w:tcW w:type="dxa" w:w="31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Read-only. Actual − Expected.</w:t>
            </w:r>
          </w:p>
        </w:tc>
      </w:tr>
      <w:tr>
        <w:tc>
          <w:tcPr>
            <w:tcW w:type="dxa" w:w="28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Less Cushion Permitted</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Yes</w:t>
            </w:r>
          </w:p>
        </w:tc>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Default −$5,000</w:t>
            </w:r>
          </w:p>
        </w:tc>
        <w:tc>
          <w:tcPr>
            <w:tcW w:type="dxa" w:w="31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Editable by controller. Triggers recalculation of Net Result.</w:t>
            </w:r>
          </w:p>
        </w:tc>
      </w:tr>
      <w:tr>
        <w:tc>
          <w:tcPr>
            <w:tcW w:type="dxa" w:w="28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Net Result</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No</w:t>
            </w:r>
          </w:p>
        </w:tc>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Calculated</w:t>
            </w:r>
          </w:p>
        </w:tc>
        <w:tc>
          <w:tcPr>
            <w:tcW w:type="dxa" w:w="31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Read-only. Colour-coded. No warning symbols.</w:t>
            </w:r>
          </w:p>
        </w:tc>
      </w:tr>
    </w:tbl>
    <w:p>
      <w:pPr>
        <w:spacing w:before="120" w:after="80"/>
      </w:pPr>
    </w:p>
    <w:p>
      <w:pPr>
        <w:pStyle w:val="Heading2"/>
        <w:spacing w:before="300" w:after="120"/>
      </w:pPr>
      <w:r>
        <w:rPr>
          <w:rFonts w:ascii="Arial" w:cs="Arial" w:eastAsia="Arial" w:hAnsi="Arial"/>
          <w:b/>
          <w:bCs/>
          <w:color w:val="1F6138"/>
          <w:sz w:val="28"/>
          <w:szCs w:val="28"/>
        </w:rPr>
        <w:t xml:space="preserve">9.3 Step 3 — Conclusion Section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Field</w:t>
            </w:r>
          </w:p>
        </w:tc>
        <w:tc>
          <w:tcPr>
            <w:tcW w:type="dxa" w:w="14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Required?</w:t>
            </w:r>
          </w:p>
        </w:tc>
        <w:tc>
          <w:tcPr>
            <w:tcW w:type="dxa" w:w="55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Validation Rule</w:t>
            </w:r>
          </w:p>
        </w:tc>
      </w:tr>
      <w:tr>
        <w:tc>
          <w:tcPr>
            <w:tcW w:type="dxa" w:w="2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Conclusion Notes</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Yes</w:t>
            </w:r>
          </w:p>
        </w:tc>
        <w:tc>
          <w:tcPr>
            <w:tcW w:type="dxa" w:w="55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Minimum 5 characters. Blocks "Mark Complete" if empty or too short.</w:t>
            </w:r>
          </w:p>
        </w:tc>
      </w:tr>
      <w:tr>
        <w:tc>
          <w:tcPr>
            <w:tcW w:type="dxa" w:w="2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Required Actions (dropdown)</w:t>
            </w:r>
          </w:p>
        </w:tc>
        <w:tc>
          <w:tcPr>
            <w:tcW w:type="dxa" w:w="1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Yes</w:t>
            </w:r>
          </w:p>
        </w:tc>
        <w:tc>
          <w:tcPr>
            <w:tcW w:type="dxa" w:w="55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Must select Yes or No before marking complete.</w:t>
            </w:r>
          </w:p>
        </w:tc>
      </w:tr>
      <w:tr>
        <w:tc>
          <w:tcPr>
            <w:tcW w:type="dxa" w:w="2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Action Details (text area)</w:t>
            </w:r>
          </w:p>
        </w:tc>
        <w:tc>
          <w:tcPr>
            <w:tcW w:type="dxa" w:w="1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Conditional</w:t>
            </w:r>
          </w:p>
        </w:tc>
        <w:tc>
          <w:tcPr>
            <w:tcW w:type="dxa" w:w="55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Required if Required Actions = Yes. Minimum 5 characters.</w:t>
            </w:r>
          </w:p>
        </w:tc>
      </w:tr>
    </w:tbl>
    <w:p>
      <w:pPr>
        <w:spacing w:before="80" w:after="80"/>
      </w:pPr>
    </w:p>
    <w:p>
      <w:r>
        <w:br w:type="page"/>
      </w:r>
    </w:p>
    <w:p>
      <w:pPr>
        <w:pStyle w:val="Heading1"/>
        <w:spacing w:before="400" w:after="160"/>
      </w:pPr>
      <w:r>
        <w:rPr>
          <w:rFonts w:ascii="Arial" w:cs="Arial" w:eastAsia="Arial" w:hAnsi="Arial"/>
          <w:b/>
          <w:bCs/>
          <w:color w:val="0D3320"/>
          <w:sz w:val="34"/>
          <w:szCs w:val="34"/>
        </w:rPr>
        <w:t xml:space="preserve">10. Out of Scope — Phase 2</w:t>
      </w:r>
    </w:p>
    <w:p>
      <w:pPr>
        <w:spacing w:before="60" w:after="100" w:line="276" w:lineRule="auto"/>
      </w:pPr>
      <w:r>
        <w:rPr>
          <w:rFonts w:ascii="Arial" w:cs="Arial" w:eastAsia="Arial" w:hAnsi="Arial"/>
          <w:sz w:val="22"/>
          <w:szCs w:val="22"/>
        </w:rPr>
        <w:t xml:space="preserve">The following items were discussed in the meeting but are explicitly deferred to future phases:</w:t>
      </w:r>
    </w:p>
    <w:p>
      <w:pPr>
        <w:spacing w:before="80" w:after="80"/>
      </w:pPr>
    </w:p>
    <w:p>
      <w:pPr>
        <w:pStyle w:val="ListParagraph"/>
        <w:numPr>
          <w:ilvl w:val="0"/>
          <w:numId w:val="3"/>
        </w:numPr>
        <w:spacing w:before="40" w:after="60"/>
      </w:pPr>
      <w:r>
        <w:rPr>
          <w:rFonts w:ascii="Arial" w:cs="Arial" w:eastAsia="Arial" w:hAnsi="Arial"/>
          <w:b w:val="false"/>
          <w:bCs w:val="false"/>
          <w:sz w:val="22"/>
          <w:szCs w:val="22"/>
        </w:rPr>
        <w:t xml:space="default"/>
      </w:r>
    </w:p>
    <w:p>
      <w:pPr>
        <w:pStyle w:val="ListParagraph"/>
        <w:numPr>
          <w:ilvl w:val="0"/>
          <w:numId w:val="3"/>
        </w:numPr>
        <w:spacing w:before="40" w:after="60"/>
      </w:pPr>
      <w:r>
        <w:rPr>
          <w:rFonts w:ascii="Arial" w:cs="Arial" w:eastAsia="Arial" w:hAnsi="Arial"/>
          <w:b w:val="false"/>
          <w:bCs w:val="false"/>
          <w:sz w:val="22"/>
          <w:szCs w:val="22"/>
        </w:rPr>
        <w:t xml:space="default"/>
      </w:r>
    </w:p>
    <w:p>
      <w:pPr>
        <w:pStyle w:val="ListParagraph"/>
        <w:numPr>
          <w:ilvl w:val="0"/>
          <w:numId w:val="3"/>
        </w:numPr>
        <w:spacing w:before="40" w:after="60"/>
      </w:pPr>
      <w:r>
        <w:rPr>
          <w:rFonts w:ascii="Arial" w:cs="Arial" w:eastAsia="Arial" w:hAnsi="Arial"/>
          <w:b w:val="false"/>
          <w:bCs w:val="false"/>
          <w:sz w:val="22"/>
          <w:szCs w:val="22"/>
        </w:rPr>
        <w:t xml:space="default"/>
      </w:r>
    </w:p>
    <w:p>
      <w:pPr>
        <w:pStyle w:val="ListParagraph"/>
        <w:numPr>
          <w:ilvl w:val="0"/>
          <w:numId w:val="3"/>
        </w:numPr>
        <w:spacing w:before="40" w:after="60"/>
      </w:pPr>
      <w:r>
        <w:rPr>
          <w:rFonts w:ascii="Arial" w:cs="Arial" w:eastAsia="Arial" w:hAnsi="Arial"/>
          <w:b w:val="false"/>
          <w:bCs w:val="false"/>
          <w:sz w:val="22"/>
          <w:szCs w:val="22"/>
        </w:rPr>
        <w:t xml:space="default"/>
      </w:r>
    </w:p>
    <w:p>
      <w:pPr>
        <w:spacing w:before="80" w:after="80"/>
      </w:pPr>
    </w:p>
    <w:p>
      <w:r>
        <w:br w:type="page"/>
      </w:r>
    </w:p>
    <w:p>
      <w:pPr>
        <w:pStyle w:val="Heading1"/>
        <w:spacing w:before="400" w:after="160"/>
      </w:pPr>
      <w:r>
        <w:rPr>
          <w:rFonts w:ascii="Arial" w:cs="Arial" w:eastAsia="Arial" w:hAnsi="Arial"/>
          <w:b/>
          <w:bCs/>
          <w:color w:val="0D3320"/>
          <w:sz w:val="34"/>
          <w:szCs w:val="34"/>
        </w:rPr>
        <w:t xml:space="preserve">11. Data Mapping — Cashroom Form to Reasonableness Test</w:t>
      </w:r>
    </w:p>
    <w:p>
      <w:pPr>
        <w:spacing w:before="60" w:after="100" w:line="276" w:lineRule="auto"/>
      </w:pPr>
      <w:r>
        <w:rPr>
          <w:rFonts w:ascii="Arial" w:cs="Arial" w:eastAsia="Arial" w:hAnsi="Arial"/>
          <w:sz w:val="22"/>
          <w:szCs w:val="22"/>
        </w:rPr>
        <w:t xml:space="preserve">This section maps the line items in the existing daily cashroom form (Form 403) to the fields used in the Cash Reasonableness Test calculation.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Test Field</w:t>
            </w:r>
          </w:p>
        </w:tc>
        <w:tc>
          <w:tcPr>
            <w:tcW w:type="dxa" w:w="22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Form 403 Reference</w:t>
            </w:r>
          </w:p>
        </w:tc>
        <w:tc>
          <w:tcPr>
            <w:tcW w:type="dxa" w:w="22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Prototype Section</w:t>
            </w:r>
          </w:p>
        </w:tc>
        <w:tc>
          <w:tcPr>
            <w:tcW w:type="dxa" w:w="29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How Pulled</w:t>
            </w:r>
          </w:p>
        </w:tc>
      </w:tr>
      <w:tr>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Line F</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Form 403, Line F</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Section F — Uncounted Funds</w:t>
            </w:r>
          </w:p>
        </w:tc>
        <w:tc>
          <w:tcPr>
            <w:tcW w:type="dxa" w:w="29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Max value of sF field across all submissions in date range</w:t>
            </w:r>
          </w:p>
        </w:tc>
      </w:tr>
      <w:tr>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Line H</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Form 403, Line H</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Section H — Outstanding Changers</w:t>
            </w:r>
          </w:p>
        </w:tc>
        <w:tc>
          <w:tcPr>
            <w:tcW w:type="dxa" w:w="29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Max value of sH field across all submissions in date range</w:t>
            </w:r>
          </w:p>
        </w:tc>
      </w:tr>
      <w:tr>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Line J</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Form 403, Line J</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Section J — Replenishment / Coin Purchase</w:t>
            </w:r>
          </w:p>
        </w:tc>
        <w:tc>
          <w:tcPr>
            <w:tcW w:type="dxa" w:w="29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Max value of sJ field across all submissions in date range</w:t>
            </w:r>
          </w:p>
        </w:tc>
      </w:tr>
      <w:tr>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Line K</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Form 403, Line K</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Coin Purchase in Transit</w:t>
            </w:r>
          </w:p>
        </w:tc>
        <w:tc>
          <w:tcPr>
            <w:tcW w:type="dxa" w:w="29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Defaults to $0 (not stored separately in current prototype)</w:t>
            </w:r>
          </w:p>
        </w:tc>
      </w:tr>
      <w:tr>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Actual Fund Amount</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Cashier's Fund Balance</w:t>
            </w:r>
          </w:p>
        </w:tc>
        <w:tc>
          <w:tcPr>
            <w:tcW w:type="dxa" w:w="22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Total Cashier's Fund — TODAY</w:t>
            </w:r>
          </w:p>
        </w:tc>
        <w:tc>
          <w:tcPr>
            <w:tcW w:type="dxa" w:w="29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Max value of "total" field across all submissions in date range</w:t>
            </w:r>
          </w:p>
        </w:tc>
      </w:tr>
      <w:tr>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sz w:val="22"/>
                <w:szCs w:val="22"/>
              </w:rPr>
              <w:t xml:space="preserve">Section A (Daily)</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Form 403, Section A</w:t>
            </w:r>
          </w:p>
        </w:tc>
        <w:tc>
          <w:tcPr>
            <w:tcW w:type="dxa" w:w="22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Section A — Currency</w:t>
            </w:r>
          </w:p>
        </w:tc>
        <w:tc>
          <w:tcPr>
            <w:tcW w:type="dxa" w:w="29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sz w:val="22"/>
                <w:szCs w:val="22"/>
              </w:rPr>
              <w:t xml:space="preserve">sA field per submission, displayed per date</w:t>
            </w:r>
          </w:p>
        </w:tc>
      </w:tr>
    </w:tbl>
    <w:p>
      <w:pPr>
        <w:spacing w:before="200" w:after="80"/>
      </w:pPr>
    </w:p>
    <w:p>
      <w:pPr>
        <w:pStyle w:val="Heading1"/>
        <w:spacing w:before="400" w:after="160"/>
      </w:pPr>
      <w:r>
        <w:rPr>
          <w:rFonts w:ascii="Arial" w:cs="Arial" w:eastAsia="Arial" w:hAnsi="Arial"/>
          <w:b/>
          <w:bCs/>
          <w:color w:val="0D3320"/>
          <w:sz w:val="34"/>
          <w:szCs w:val="34"/>
        </w:rPr>
        <w:t xml:space="preserve">12. Open Items &amp;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000"/>
        <w:gridCol w:w="2000"/>
        <w:gridCol w:w="1960"/>
      </w:tblGrid>
      <w:tr>
        <w:trPr>
          <w:tblHeader/>
        </w:trPr>
        <w:tc>
          <w:tcPr>
            <w:tcW w:type="dxa" w:w="4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w:t>
            </w:r>
          </w:p>
        </w:tc>
        <w:tc>
          <w:tcPr>
            <w:tcW w:type="dxa" w:w="30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Action Item</w:t>
            </w:r>
          </w:p>
        </w:tc>
        <w:tc>
          <w:tcPr>
            <w:tcW w:type="dxa" w:w="20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Owner</w:t>
            </w:r>
          </w:p>
        </w:tc>
        <w:tc>
          <w:tcPr>
            <w:tcW w:type="dxa" w:w="200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Due</w:t>
            </w:r>
          </w:p>
        </w:tc>
        <w:tc>
          <w:tcPr>
            <w:tcW w:type="dxa" w:w="1960"/>
            <w:tcBorders>
              <w:top w:val="single" w:color="C4BFB5" w:sz="1"/>
              <w:left w:val="single" w:color="C4BFB5" w:sz="1"/>
              <w:bottom w:val="single" w:color="C4BFB5" w:sz="1"/>
              <w:right w:val="single" w:color="C4BFB5" w:sz="1"/>
            </w:tcBorders>
            <w:shd w:fill="1F6138" w:val="clear"/>
            <w:tcMar>
              <w:top w:type="dxa" w:w="100"/>
              <w:left w:type="dxa" w:w="140"/>
              <w:bottom w:type="dxa" w:w="100"/>
              <w:right w:type="dxa" w:w="140"/>
            </w:tcMar>
          </w:tcPr>
          <w:p>
            <w:pPr>
              <w:spacing w:before="60" w:after="100" w:line="276" w:lineRule="auto"/>
            </w:pPr>
            <w:r>
              <w:rPr>
                <w:rFonts w:ascii="Arial" w:cs="Arial" w:eastAsia="Arial" w:hAnsi="Arial"/>
                <w:b/>
                <w:bCs/>
                <w:color w:val="FFFFFF"/>
                <w:sz w:val="22"/>
                <w:szCs w:val="22"/>
              </w:rPr>
              <w:t xml:space="preserve">Status</w:t>
            </w:r>
          </w:p>
        </w:tc>
      </w:tr>
      <w:tr>
        <w:tc>
          <w:tcPr>
            <w:tcW w:type="dxa" w:w="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color w:val="1A1A18"/>
                <w:sz w:val="22"/>
                <w:szCs w:val="22"/>
              </w:rPr>
              <w:t xml:space="preserve">1</w:t>
            </w:r>
          </w:p>
        </w:tc>
        <w:tc>
          <w:tcPr>
            <w:tcW w:type="dxa" w:w="3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Provide complete cost center mapping (operation numbers) for all cash room locations</w:t>
            </w:r>
          </w:p>
        </w:tc>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Jamie Spoor</w:t>
            </w:r>
          </w:p>
        </w:tc>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ASAP</w:t>
            </w:r>
          </w:p>
        </w:tc>
        <w:tc>
          <w:tcPr>
            <w:tcW w:type="dxa" w:w="19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Pending</w:t>
            </w:r>
          </w:p>
        </w:tc>
      </w:tr>
      <w:tr>
        <w:tc>
          <w:tcPr>
            <w:tcW w:type="dxa" w:w="4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bCs/>
                <w:color w:val="1A1A18"/>
                <w:sz w:val="22"/>
                <w:szCs w:val="22"/>
              </w:rPr>
              <w:t xml:space="preserve">2</w:t>
            </w:r>
          </w:p>
        </w:tc>
        <w:tc>
          <w:tcPr>
            <w:tcW w:type="dxa" w:w="3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Review and approve SOW for Phase 2</w:t>
            </w:r>
          </w:p>
        </w:tc>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Jamie Spoor</w:t>
            </w:r>
          </w:p>
        </w:tc>
        <w:tc>
          <w:tcPr>
            <w:tcW w:type="dxa" w:w="200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End of week</w:t>
            </w:r>
          </w:p>
        </w:tc>
        <w:tc>
          <w:tcPr>
            <w:tcW w:type="dxa" w:w="1960"/>
            <w:tcBorders>
              <w:top w:val="single" w:color="C4BFB5" w:sz="1"/>
              <w:left w:val="single" w:color="C4BFB5" w:sz="1"/>
              <w:bottom w:val="single" w:color="C4BFB5" w:sz="1"/>
              <w:right w:val="single" w:color="C4BFB5" w:sz="1"/>
            </w:tcBorders>
            <w:shd w:fill="FFFFFF"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Pending</w:t>
            </w:r>
          </w:p>
        </w:tc>
      </w:tr>
      <w:tr>
        <w:tc>
          <w:tcPr>
            <w:tcW w:type="dxa" w:w="4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bCs/>
                <w:color w:val="1A1A18"/>
                <w:sz w:val="22"/>
                <w:szCs w:val="22"/>
              </w:rPr>
              <w:t xml:space="preserve">3</w:t>
            </w:r>
          </w:p>
        </w:tc>
        <w:tc>
          <w:tcPr>
            <w:tcW w:type="dxa" w:w="3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Add Cost Center / Operation Number field to Admin Location screen</w:t>
            </w:r>
          </w:p>
        </w:tc>
        <w:tc>
          <w:tcPr>
            <w:tcW w:type="dxa" w:w="2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Dev Team (Pankhuri)</w:t>
            </w:r>
          </w:p>
        </w:tc>
        <w:tc>
          <w:tcPr>
            <w:tcW w:type="dxa" w:w="2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Phase 2 sprint</w:t>
            </w:r>
          </w:p>
        </w:tc>
        <w:tc>
          <w:tcPr>
            <w:tcW w:type="dxa" w:w="19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In Progress</w:t>
            </w:r>
          </w:p>
        </w:tc>
      </w:tr>
      <w:tr>
        <w:tc>
          <w:tcPr>
            <w:tcW w:type="dxa" w:w="4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bCs/>
                <w:color w:val="1A1A18"/>
                <w:sz w:val="22"/>
                <w:szCs w:val="22"/>
              </w:rPr>
              <w:t xml:space="preserve">4</w:t>
            </w:r>
          </w:p>
        </w:tc>
        <w:tc>
          <w:tcPr>
            <w:tcW w:type="dxa" w:w="3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Confirm Line K (Coin Purchase in Transit) data availability in prototype DB</w:t>
            </w:r>
          </w:p>
        </w:tc>
        <w:tc>
          <w:tcPr>
            <w:tcW w:type="dxa" w:w="2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Dev Team (Pankhuri)</w:t>
            </w:r>
          </w:p>
        </w:tc>
        <w:tc>
          <w:tcPr>
            <w:tcW w:type="dxa" w:w="2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Phase 2 sprint</w:t>
            </w:r>
          </w:p>
        </w:tc>
        <w:tc>
          <w:tcPr>
            <w:tcW w:type="dxa" w:w="19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In Progress</w:t>
            </w:r>
          </w:p>
        </w:tc>
      </w:tr>
      <w:tr>
        <w:tc>
          <w:tcPr>
            <w:tcW w:type="dxa" w:w="4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bCs/>
                <w:color w:val="1A1A18"/>
                <w:sz w:val="22"/>
                <w:szCs w:val="22"/>
              </w:rPr>
              <w:t xml:space="preserve">5</w:t>
            </w:r>
          </w:p>
        </w:tc>
        <w:tc>
          <w:tcPr>
            <w:tcW w:type="dxa" w:w="3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Share draft prototype for Phase 2 Cash Reasonableness Test</w:t>
            </w:r>
          </w:p>
        </w:tc>
        <w:tc>
          <w:tcPr>
            <w:tcW w:type="dxa" w:w="2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Dev Team (Pankhuri)</w:t>
            </w:r>
          </w:p>
        </w:tc>
        <w:tc>
          <w:tcPr>
            <w:tcW w:type="dxa" w:w="200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Early next week</w:t>
            </w:r>
          </w:p>
        </w:tc>
        <w:tc>
          <w:tcPr>
            <w:tcW w:type="dxa" w:w="1960"/>
            <w:tcBorders>
              <w:top w:val="single" w:color="C4BFB5" w:sz="1"/>
              <w:left w:val="single" w:color="C4BFB5" w:sz="1"/>
              <w:bottom w:val="single" w:color="C4BFB5" w:sz="1"/>
              <w:right w:val="single" w:color="C4BFB5" w:sz="1"/>
            </w:tcBorders>
            <w:shd w:fill="FEFCE8"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1A1A18"/>
                <w:sz w:val="22"/>
                <w:szCs w:val="22"/>
              </w:rPr>
              <w:t xml:space="preserve">In Progress</w:t>
            </w:r>
          </w:p>
        </w:tc>
      </w:tr>
      <w:tr>
        <w:tc>
          <w:tcPr>
            <w:tcW w:type="dxa" w:w="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color w:val="7A7A72"/>
                <w:sz w:val="22"/>
                <w:szCs w:val="22"/>
              </w:rPr>
              <w:t xml:space="preserve">6</w:t>
            </w:r>
          </w:p>
        </w:tc>
        <w:tc>
          <w:tcPr>
            <w:tcW w:type="dxa" w:w="3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7A7A72"/>
                <w:sz w:val="22"/>
                <w:szCs w:val="22"/>
              </w:rPr>
              <w:t xml:space="preserve">Begin requirements for Form 404 Monthly Reconciliation (Phase 3)</w:t>
            </w:r>
          </w:p>
        </w:tc>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7A7A72"/>
                <w:sz w:val="22"/>
                <w:szCs w:val="22"/>
              </w:rPr>
              <w:t xml:space="preserve">Shivani Gupta + Jamie</w:t>
            </w:r>
          </w:p>
        </w:tc>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7A7A72"/>
                <w:sz w:val="22"/>
                <w:szCs w:val="22"/>
              </w:rPr>
              <w:t xml:space="preserve">After Phase 2 demo</w:t>
            </w:r>
          </w:p>
        </w:tc>
        <w:tc>
          <w:tcPr>
            <w:tcW w:type="dxa" w:w="19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7A7A72"/>
                <w:sz w:val="22"/>
                <w:szCs w:val="22"/>
              </w:rPr>
              <w:t xml:space="preserve">Deferred</w:t>
            </w:r>
          </w:p>
        </w:tc>
      </w:tr>
      <w:tr>
        <w:tc>
          <w:tcPr>
            <w:tcW w:type="dxa" w:w="4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bCs/>
                <w:color w:val="7A7A72"/>
                <w:sz w:val="22"/>
                <w:szCs w:val="22"/>
              </w:rPr>
              <w:t xml:space="preserve">7</w:t>
            </w:r>
          </w:p>
        </w:tc>
        <w:tc>
          <w:tcPr>
            <w:tcW w:type="dxa" w:w="3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7A7A72"/>
                <w:sz w:val="22"/>
                <w:szCs w:val="22"/>
              </w:rPr>
              <w:t xml:space="preserve">Alarm testing form requirements discussion with Carmen</w:t>
            </w:r>
          </w:p>
        </w:tc>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7A7A72"/>
                <w:sz w:val="22"/>
                <w:szCs w:val="22"/>
              </w:rPr>
              <w:t xml:space="preserve">Shivani Gupta</w:t>
            </w:r>
          </w:p>
        </w:tc>
        <w:tc>
          <w:tcPr>
            <w:tcW w:type="dxa" w:w="200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7A7A72"/>
                <w:sz w:val="22"/>
                <w:szCs w:val="22"/>
              </w:rPr>
              <w:t xml:space="preserve">Phase 4 planning</w:t>
            </w:r>
          </w:p>
        </w:tc>
        <w:tc>
          <w:tcPr>
            <w:tcW w:type="dxa" w:w="1960"/>
            <w:tcBorders>
              <w:top w:val="single" w:color="C4BFB5" w:sz="1"/>
              <w:left w:val="single" w:color="C4BFB5" w:sz="1"/>
              <w:bottom w:val="single" w:color="C4BFB5" w:sz="1"/>
              <w:right w:val="single" w:color="C4BFB5" w:sz="1"/>
            </w:tcBorders>
            <w:shd w:fill="F7F5F0" w:val="clear"/>
            <w:tcMar>
              <w:top w:type="dxa" w:w="100"/>
              <w:left w:type="dxa" w:w="140"/>
              <w:bottom w:type="dxa" w:w="100"/>
              <w:right w:type="dxa" w:w="140"/>
            </w:tcMar>
          </w:tcPr>
          <w:p>
            <w:pPr>
              <w:spacing w:before="60" w:after="100" w:line="276" w:lineRule="auto"/>
            </w:pPr>
            <w:r>
              <w:rPr>
                <w:rFonts w:ascii="Arial" w:cs="Arial" w:eastAsia="Arial" w:hAnsi="Arial"/>
                <w:b w:val="false"/>
                <w:bCs w:val="false"/>
                <w:color w:val="7A7A72"/>
                <w:sz w:val="22"/>
                <w:szCs w:val="22"/>
              </w:rPr>
              <w:t xml:space="preserve">Deferred</w:t>
            </w:r>
          </w:p>
        </w:tc>
      </w:tr>
    </w:tbl>
    <w:p>
      <w:pPr>
        <w:spacing w:before="200" w:after="80"/>
      </w:pPr>
    </w:p>
    <w:p>
      <w:pPr>
        <w:pBdr>
          <w:bottom w:val="single" w:color="52B06E" w:sz="4" w:space="1"/>
        </w:pBdr>
        <w:spacing w:before="120" w:after="120"/>
      </w:pPr>
    </w:p>
    <w:p>
      <w:pPr>
        <w:spacing w:before="80" w:after="80"/>
      </w:pPr>
    </w:p>
    <w:p>
      <w:pPr>
        <w:spacing w:before="60" w:after="100" w:line="276" w:lineRule="auto"/>
      </w:pPr>
      <w:r>
        <w:rPr>
          <w:rFonts w:ascii="Arial" w:cs="Arial" w:eastAsia="Arial" w:hAnsi="Arial"/>
          <w:color w:val="7A7A72"/>
          <w:sz w:val="22"/>
          <w:szCs w:val="22"/>
        </w:rPr>
        <w:t xml:space="preserve">End of Document — CashRoom Compliance System, Phase 2 Process &amp; Requirements</w:t>
      </w:r>
    </w:p>
    <w:p>
      <w:pPr>
        <w:spacing w:before="60" w:after="100" w:line="276" w:lineRule="auto"/>
      </w:pPr>
      <w:r>
        <w:rPr>
          <w:rFonts w:ascii="Arial" w:cs="Arial" w:eastAsia="Arial" w:hAnsi="Arial"/>
          <w:color w:val="7A7A72"/>
          <w:sz w:val="20"/>
          <w:szCs w:val="20"/>
        </w:rPr>
        <w:t xml:space="preserve">Prepared by Pankhuri Gupta based on Phase 2 Requirements Discussion, March 12, 2026. Reviewed by Shivani Gupta and Jamie Spoor.</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FB5" w:sz="4" w:space="1"/>
      </w:pBdr>
      <w:tabs>
        <w:tab w:val="right" w:pos="9360"/>
      </w:tabs>
      <w:spacing w:before="0" w:after="0"/>
    </w:pPr>
    <w:r>
      <w:rPr>
        <w:rFonts w:ascii="Arial" w:cs="Arial" w:eastAsia="Arial" w:hAnsi="Arial"/>
        <w:color w:val="7A7A72"/>
        <w:sz w:val="18"/>
        <w:szCs w:val="18"/>
      </w:rPr>
      <w:t xml:space="preserve">Canteen Vending Services  —  Confidential</w:t>
    </w:r>
    <w:r>
      <w:rPr>
        <w:rFonts w:ascii="Arial" w:cs="Arial" w:eastAsia="Arial" w:hAnsi="Arial"/>
        <w:sz w:val="18"/>
        <w:szCs w:val="18"/>
      </w:rPr>
      <w:t xml:space="preserve">	</w:t>
    </w:r>
    <w:r>
      <w:rPr>
        <w:rFonts w:ascii="Arial" w:cs="Arial" w:eastAsia="Arial" w:hAnsi="Arial"/>
        <w:color w:val="7A7A72"/>
        <w:sz w:val="18"/>
        <w:szCs w:val="18"/>
      </w:rPr>
      <w:t xml:space="preserve">Page </w:t>
    </w:r>
    <w:r>
      <w:rPr>
        <w:rFonts w:ascii="Arial" w:cs="Arial" w:eastAsia="Arial" w:hAnsi="Arial"/>
        <w:color w:val="7A7A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138" w:sz="6" w:space="1"/>
      </w:pBdr>
      <w:spacing w:before="0" w:after="0"/>
    </w:pPr>
    <w:r>
      <w:rPr>
        <w:rFonts w:ascii="Arial" w:cs="Arial" w:eastAsia="Arial" w:hAnsi="Arial"/>
        <w:color w:val="7A7A72"/>
        <w:sz w:val="18"/>
        <w:szCs w:val="18"/>
      </w:rPr>
      <w:t xml:space="preserve">CashRoom Compliance System  |  Phase 2: Cash Reasonableness Test</w:t>
    </w:r>
    <w:r>
      <w:rPr>
        <w:rFonts w:ascii="Arial" w:cs="Arial" w:eastAsia="Arial" w:hAnsi="Arial"/>
        <w:color w:val="7A7A72"/>
        <w:sz w:val="18"/>
        <w:szCs w:val="18"/>
      </w:rPr>
      <w:t xml:space="preserve">     Process &amp;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3320"/>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F613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F6138"/>
      <w:sz w:val="24"/>
      <w:szCs w:val="24"/>
    </w:rPr>
  </w:style>
  <w:style w:type="paragraph" w:styleId="Heading4">
    <w:name w:val="Heading 4"/>
    <w:basedOn w:val="Normal"/>
    <w:next w:val="Normal"/>
    <w:qFormat/>
    <w:pPr>
      <w:spacing w:before="160" w:after="60"/>
      <w:outlineLvl w:val="3"/>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2026-03-25T10:01:24.612Z</dcterms:created>
  <dcterms:modified xsi:type="dcterms:W3CDTF">2026-03-25T10:01:24.613Z</dcterms:modified>
</cp:coreProperties>
</file>

<file path=docProps/custom.xml><?xml version="1.0" encoding="utf-8"?>
<Properties xmlns="http://schemas.openxmlformats.org/officeDocument/2006/custom-properties" xmlns:vt="http://schemas.openxmlformats.org/officeDocument/2006/docPropsVTypes"/>
</file>