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 Semibold" w:hAnsi="Segoe UI Semibold"/>
          <w:b/>
          <w:color w:val="1B365D"/>
          <w:sz w:val="44"/>
        </w:rPr>
        <w:t>Cute Chess Engine Testing &amp; Benchmarking Guide</w:t>
      </w:r>
    </w:p>
    <w:p>
      <w:pPr>
        <w:spacing w:after="280"/>
      </w:pPr>
      <w:r>
        <w:rPr>
          <w:color w:val="646E7D"/>
          <w:sz w:val="24"/>
        </w:rPr>
        <w:t>Standard Testing Procedures for FatPanda vs. Stockfish</w:t>
      </w:r>
    </w:p>
    <w:p>
      <w:pPr>
        <w:pStyle w:val="Heading1"/>
      </w:pPr>
      <w:r>
        <w:rPr>
          <w:rFonts w:ascii="Segoe UI Semibold" w:hAnsi="Segoe UI Semibold"/>
          <w:color w:val="1B365D"/>
          <w:sz w:val="28"/>
        </w:rPr>
        <w:t>1. Why Did the Initial Match End 10–0?</w:t>
      </w:r>
    </w:p>
    <w:p>
      <w:r>
        <w:t>By default, Stockfish runs unconstrained with deep NNUE neural network evaluation and grandmaster search heuristics, giving it an estimated rating of 3,600+ Elo. At this rating, it is practically invincible and will defeat almost any developmental chess engine 100 out of 100 times.</w:t>
      </w:r>
    </w:p>
    <w:p>
      <w:r>
        <w:t>To conduct scientifically meaningful and competitive tests on FatPanda, you must calibrate the opponent's strength, ensure hardware parity (threads &amp; hash), alternate colors systematically, and configure automatic adjudication.</w:t>
      </w:r>
    </w:p>
    <w:p>
      <w:pPr>
        <w:pStyle w:val="Heading1"/>
      </w:pPr>
      <w:r>
        <w:rPr>
          <w:rFonts w:ascii="Segoe UI Semibold" w:hAnsi="Segoe UI Semibold"/>
          <w:color w:val="1B365D"/>
          <w:sz w:val="28"/>
        </w:rPr>
        <w:t>2. Engine Executable Paths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6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Engine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Build / Role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Executable Path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FatPanda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Release (Primary)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d:\projcets\Chess-engine\build\Release\FatPanda.exe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Stockfish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Benchmark Target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d:\projcets\Chess-engine\tools\stockfish\stockfish\stockfish-windows-x86-64-universal.exe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Segoe UI Semibold" w:hAnsi="Segoe UI Semibold"/>
          <w:color w:val="1B365D"/>
          <w:sz w:val="28"/>
        </w:rPr>
        <w:t>3. Engine Parameter Settings (Tools → Settings → Engines)</w:t>
      </w:r>
    </w:p>
    <w:p>
      <w:r>
        <w:t>Configure both engines in Cute Chess with the exact parameters listed below:</w:t>
      </w:r>
    </w:p>
    <w:p>
      <w:pPr>
        <w:pStyle w:val="Heading2"/>
      </w:pPr>
      <w:r>
        <w:rPr>
          <w:rFonts w:ascii="Segoe UI Semibold" w:hAnsi="Segoe UI Semibold"/>
          <w:color w:val="28466E"/>
          <w:sz w:val="24"/>
        </w:rPr>
        <w:t>A. Stockfish Configuration (Handicapped to 1800 Elo)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6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Purpose / Explanation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UCI_LimitStrength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Checked (true)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Crucial. Enables Stockfish's internal Elo limiter.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UCI_Elo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1800 (or 2000)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Sets Stockfish strength to intermediate/club level.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Threads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1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Prevents CPU thread contention on your PC.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Hash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64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Transposition table size in MB (equal for both).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Skill Level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20 (Default)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Automatically overridden by UCI_Elo.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Segoe UI Semibold" w:hAnsi="Segoe UI Semibold"/>
          <w:color w:val="28466E"/>
          <w:sz w:val="24"/>
        </w:rPr>
        <w:t>B. FatPanda Configuration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6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Purpose / Explanation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Threads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1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Matches Stockfish for CPU fairness.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Hash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64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Matches Stockfish's 64 MB hash size.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SearchOverhead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20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Buffer in milliseconds to prevent flag falls/timeouts.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OwnBook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Unchecked (false)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Allows Cute Chess tournament openings to control play.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Use NNUE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Unchecked (false)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Uses FatPanda's tuned classical evaluation.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Segoe UI Semibold" w:hAnsi="Segoe UI Semibold"/>
          <w:color w:val="1B365D"/>
          <w:sz w:val="28"/>
        </w:rPr>
        <w:t>4. Exact Reference: Nodes, Plies, and Margin</w:t>
      </w:r>
    </w:p>
    <w:p>
      <w:r>
        <w:t>These terms appear across the Search Limits and Adjudication settings in Cute Chess. Use the exact recommended values below: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6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Field / Setting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Location in Cute Chess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Recommended Value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Detailed Meaning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Nodes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Time Control / Search Limits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100,000 (or empty)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Max nodes per move. Leave 0/empty if using clock time.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Plies (Depth)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Time Control / Fixed Depth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8 plies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1 ply = 1 half-move. Depth 8 is sharp &amp; fast (&lt;0.4s).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Resign Plies / Moves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Adjudication → Resign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6 plies (or 3-4 moves)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Consecutive plies required below margin to declare a loss.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Resign Margin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Adjudication → Resign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700 cp (centipawns)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Engine down by &gt;= 7 pawns (-7.00) triggers resignation.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Draw Plies / Moves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Adjudication → Draw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16 plies (or 8 moves)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Consecutive plies within draw margin before adjudicating.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Draw Margin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Adjudication → Draw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15 cp (centipawns)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Evaluation within ±0.15 pawns after move 40 declared draw.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Segoe UI Semibold" w:hAnsi="Segoe UI Semibold"/>
          <w:color w:val="1B365D"/>
          <w:sz w:val="28"/>
        </w:rPr>
        <w:t>5. Step-by-Step: Setting Up Tournament Mode</w:t>
      </w:r>
    </w:p>
    <w:p>
      <w:pPr>
        <w:spacing w:after="80"/>
        <w:ind w:left="288"/>
      </w:pPr>
      <w:r>
        <w:rPr>
          <w:b/>
          <w:color w:val="1B365D"/>
        </w:rPr>
        <w:t xml:space="preserve">Step 1: Open Tournament Window: </w:t>
      </w:r>
      <w:r>
        <w:t>Click Game → New Tournament... (or press Ctrl + T).</w:t>
      </w:r>
    </w:p>
    <w:p>
      <w:pPr>
        <w:spacing w:after="80"/>
        <w:ind w:left="288"/>
      </w:pPr>
      <w:r>
        <w:rPr>
          <w:b/>
          <w:color w:val="1B365D"/>
        </w:rPr>
        <w:t xml:space="preserve">Step 2: Add Both Participants: </w:t>
      </w:r>
      <w:r>
        <w:t>Select FatPanda and click Add. Then select Stockfish (1800 Elo) and click Add.</w:t>
      </w:r>
    </w:p>
    <w:p>
      <w:pPr>
        <w:spacing w:after="80"/>
        <w:ind w:left="288"/>
      </w:pPr>
      <w:r>
        <w:rPr>
          <w:b/>
          <w:color w:val="1B365D"/>
        </w:rPr>
        <w:t xml:space="preserve">Step 3: Tournament Type &amp; Rounds: </w:t>
      </w:r>
      <w:r>
        <w:t>Set Type to Round-robin. Set Rounds to 10 (or 20). Check 'Play pairs of games' (or 'Alternate colors') so both engines play White and Black from identical positions.</w:t>
      </w:r>
    </w:p>
    <w:p>
      <w:pPr>
        <w:spacing w:after="80"/>
        <w:ind w:left="288"/>
      </w:pPr>
      <w:r>
        <w:rPr>
          <w:b/>
          <w:color w:val="1B365D"/>
        </w:rPr>
        <w:t xml:space="preserve">Step 4: Select Time Control: </w:t>
      </w:r>
      <w:r>
        <w:t>Option A (Fast testing): Fixed time per move = 0.5s or 1.0s.</w:t>
        <w:br/>
        <w:t>Option B (Blitz clock): 10 seconds + 0.1s increment (or 1 min + 1s).</w:t>
      </w:r>
    </w:p>
    <w:p>
      <w:pPr>
        <w:spacing w:after="80"/>
        <w:ind w:left="288"/>
      </w:pPr>
      <w:r>
        <w:rPr>
          <w:b/>
          <w:color w:val="1B365D"/>
        </w:rPr>
        <w:t xml:space="preserve">Step 5: Enable Adjudication: </w:t>
      </w:r>
      <w:r>
        <w:t>Check Resign (4 moves / 6 plies, 700 cp margin).</w:t>
        <w:br/>
        <w:t>Check Draw (after 40 moves, 8 moves / 16 plies, 15 cp margin).</w:t>
        <w:br/>
        <w:t>Check Draw on 3-fold repetition and 50-move rule.</w:t>
      </w:r>
    </w:p>
    <w:p>
      <w:pPr>
        <w:spacing w:after="80"/>
        <w:ind w:left="288"/>
      </w:pPr>
      <w:r>
        <w:rPr>
          <w:b/>
          <w:color w:val="1B365D"/>
        </w:rPr>
        <w:t xml:space="preserve">Step 6: PGN File Logging: </w:t>
      </w:r>
      <w:r>
        <w:t>Check 'Save games to file' and select a destination (e.g. matches/fatpanda_vs_sf1800.pgn) to review blunder analysis later in En Croissant or Lichess.</w:t>
      </w:r>
    </w:p>
    <w:p>
      <w:pPr>
        <w:spacing w:after="80"/>
        <w:ind w:left="288"/>
      </w:pPr>
      <w:r>
        <w:rPr>
          <w:b/>
          <w:color w:val="1B365D"/>
        </w:rPr>
        <w:t xml:space="preserve">Step 7: Start the Match: </w:t>
      </w:r>
      <w:r>
        <w:t>Click 'Start' at the bottom right. Cute Chess will play the entire series automatically.</w:t>
      </w:r>
    </w:p>
    <w:p>
      <w:pPr>
        <w:spacing w:after="160"/>
      </w:pPr>
    </w:p>
    <w:p>
      <w:pPr>
        <w:pStyle w:val="Heading1"/>
      </w:pPr>
      <w:r>
        <w:rPr>
          <w:rFonts w:ascii="Segoe UI Semibold" w:hAnsi="Segoe UI Semibold"/>
          <w:color w:val="1B365D"/>
          <w:sz w:val="28"/>
        </w:rPr>
        <w:t>6. The Elo Benchmark Ladder</w:t>
      </w:r>
    </w:p>
    <w:p>
      <w:r>
        <w:t>To systematically test FatPanda's progression as you optimize move ordering, search, or evaluation, test against Stockfish at these graduated Elo levels: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6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Stockfish UCI_Elo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Target Outcome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Tier 1: Baseline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1800 Elo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FatPanda should score &gt;= 50% (5.0 / 10).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Tier 2: Intermediate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2000 Elo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Competitive tactical test; target 30% - 50% score.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Tier 3: Expert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2200 Elo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Evaluates endgame technique and pawn structure.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Tier 4: Master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2400 Elo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4F6F9"/>
          </w:tcPr>
          <w:p>
            <w:r>
              <w:t>Stress tests deep tactical vision and horizon effect.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Automated Script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python tools/play_match.py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  <w:shd w:fill="FFFFFF"/>
          </w:tcPr>
          <w:p>
            <w:r>
              <w:t>Runs an automated 10-game ladder across all tiers.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Segoe UI" w:hAnsi="Segoe U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