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ABOUT US (Main Section)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Parvatiya Vahan Mobility LLP is a technology-driven mobility enterprise focused on transforming transportation services through innovation, safety, and efficiency.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work closely with Parvatiya Vahan Samarthan Samiti, a social organization dedicated to driver welfare, road safety awareness, and community development.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While the LLP operates as an independent commercial entity, this collaboration enables us to combine business excellence with meaningful social impact.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RELATIONSHIP DISCLOSURE</w:t>
      </w:r>
    </w:p>
    <w:p w:rsidR="00000000" w:rsidDel="00000000" w:rsidP="00000000" w:rsidRDefault="00000000" w:rsidRPr="00000000" w14:paraId="0000000D">
      <w:pPr>
        <w:rPr/>
      </w:pPr>
      <w:r w:rsidDel="00000000" w:rsidR="00000000" w:rsidRPr="00000000">
        <w:rPr>
          <w:rtl w:val="0"/>
        </w:rPr>
        <w:t xml:space="preserve">Parvatiya Vahan Mobility LLP is an independent legal entity and operates as a commercial enterprise. It collaborates with Parvatiya Vahan Samarthan Samiti on various social and community initiatives.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NGO does not hold any ownership, partnership, or profit-sharing rights in the LLP. All collaborations are conducted on a transparent and arm’s length basis in compliance with applicable laws.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OUR MISSION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build a reliable and technology-enabled mobility ecosystem that empowers drivers, enhances passenger safety, and supports sustainable livelihood opportunities.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LEGAL DISCLAIMER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Disclaimer: Parvatiya Vahan Mobility LLP is an independent commercial entity. Any association with Parvatiya Vahan Samarthan Samiti is limited to collaborative initiatives for social impact and does not imply ownership, control, or profit-sharing.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services offered by the LLP are governed by applicable commercial laws and regulations.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