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PRD: Dynamic Growth Stock Priority Ranking System</w:t>
      </w:r>
    </w:p>
    <w:p>
      <w:pPr>
        <w:jc w:val="center"/>
      </w:pPr>
      <w:r>
        <w:rPr>
          <w:color w:val="5A5A5A"/>
          <w:sz w:val="24"/>
        </w:rPr>
        <w:t>For Rahul's Institutional Research Dashboard</w:t>
      </w:r>
    </w:p>
    <w:p/>
    <w:tbl>
      <w:tblPr>
        <w:tblW w:type="auto" w:w="0"/>
        <w:jc w:val="center"/>
        <w:tblLook w:firstColumn="1" w:firstRow="1" w:lastColumn="0" w:lastRow="0" w:noHBand="0" w:noVBand="1" w:val="04A0"/>
      </w:tblPr>
      <w:tblGrid>
        <w:gridCol w:w="5184"/>
        <w:gridCol w:w="5184"/>
      </w:tblGrid>
      <w:tr>
        <w:tc>
          <w:tcPr>
            <w:tcW w:type="dxa" w:w="5184"/>
            <w:vAlign w:val="top"/>
            <w:tcBorders>
              <w:top w:val="single" w:sz="6" w:space="0" w:color="D9D9D9"/>
              <w:left w:val="single" w:sz="6" w:space="0" w:color="D9D9D9"/>
              <w:bottom w:val="single" w:sz="6" w:space="0" w:color="D9D9D9"/>
              <w:right w:val="single" w:sz="6" w:space="0" w:color="D9D9D9"/>
            </w:tcBorders>
            <w:shd w:fill="5B9BD5"/>
            <w:shd w:fill="D9EAF7"/>
          </w:tcPr>
          <w:p>
            <w:pPr>
              <w:spacing w:after="0"/>
            </w:pPr>
            <w:r>
              <w:rPr>
                <w:b/>
                <w:color w:val="1F4E79"/>
                <w:sz w:val="16"/>
              </w:rPr>
              <w:t>Document type</w:t>
            </w:r>
          </w:p>
        </w:tc>
        <w:tc>
          <w:tcPr>
            <w:tcW w:type="dxa" w:w="5184"/>
            <w:vAlign w:val="top"/>
            <w:tcBorders>
              <w:top w:val="single" w:sz="6" w:space="0" w:color="D9D9D9"/>
              <w:left w:val="single" w:sz="6" w:space="0" w:color="D9D9D9"/>
              <w:bottom w:val="single" w:sz="6" w:space="0" w:color="D9D9D9"/>
              <w:right w:val="single" w:sz="6" w:space="0" w:color="D9D9D9"/>
            </w:tcBorders>
            <w:shd w:fill="5B9BD5"/>
          </w:tcPr>
          <w:p>
            <w:pPr>
              <w:spacing w:after="0"/>
            </w:pPr>
            <w:r>
              <w:rPr>
                <w:b/>
                <w:color w:val="FFFFFF"/>
                <w:sz w:val="16"/>
              </w:rPr>
              <w:t>Product Requirements Document</w:t>
            </w:r>
          </w:p>
        </w:tc>
      </w:tr>
      <w:tr>
        <w:tc>
          <w:tcPr>
            <w:tcW w:type="dxa" w:w="5184"/>
            <w:vAlign w:val="top"/>
            <w:tcBorders>
              <w:top w:val="single" w:sz="6" w:space="0" w:color="D9D9D9"/>
              <w:left w:val="single" w:sz="6" w:space="0" w:color="D9D9D9"/>
              <w:bottom w:val="single" w:sz="6" w:space="0" w:color="D9D9D9"/>
              <w:right w:val="single" w:sz="6" w:space="0" w:color="D9D9D9"/>
            </w:tcBorders>
            <w:shd w:fill="D9EAF7"/>
          </w:tcPr>
          <w:p>
            <w:pPr>
              <w:spacing w:after="0"/>
            </w:pPr>
            <w:r>
              <w:rPr>
                <w:b/>
                <w:color w:val="1F4E79"/>
                <w:sz w:val="17"/>
              </w:rPr>
              <w:t>Version</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v1.0</w:t>
            </w:r>
          </w:p>
        </w:tc>
      </w:tr>
      <w:tr>
        <w:tc>
          <w:tcPr>
            <w:tcW w:type="dxa" w:w="5184"/>
            <w:vAlign w:val="top"/>
            <w:tcBorders>
              <w:top w:val="single" w:sz="6" w:space="0" w:color="D9D9D9"/>
              <w:left w:val="single" w:sz="6" w:space="0" w:color="D9D9D9"/>
              <w:bottom w:val="single" w:sz="6" w:space="0" w:color="D9D9D9"/>
              <w:right w:val="single" w:sz="6" w:space="0" w:color="D9D9D9"/>
            </w:tcBorders>
            <w:shd w:fill="D9EAF7"/>
          </w:tcPr>
          <w:p>
            <w:pPr>
              <w:spacing w:after="0"/>
            </w:pPr>
            <w:r>
              <w:rPr>
                <w:b/>
                <w:color w:val="1F4E79"/>
                <w:sz w:val="17"/>
              </w:rPr>
              <w:t>Date</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May 12, 2026</w:t>
            </w:r>
          </w:p>
        </w:tc>
      </w:tr>
      <w:tr>
        <w:tc>
          <w:tcPr>
            <w:tcW w:type="dxa" w:w="5184"/>
            <w:vAlign w:val="top"/>
            <w:tcBorders>
              <w:top w:val="single" w:sz="6" w:space="0" w:color="D9D9D9"/>
              <w:left w:val="single" w:sz="6" w:space="0" w:color="D9D9D9"/>
              <w:bottom w:val="single" w:sz="6" w:space="0" w:color="D9D9D9"/>
              <w:right w:val="single" w:sz="6" w:space="0" w:color="D9D9D9"/>
            </w:tcBorders>
            <w:shd w:fill="D9EAF7"/>
          </w:tcPr>
          <w:p>
            <w:pPr>
              <w:spacing w:after="0"/>
            </w:pPr>
            <w:r>
              <w:rPr>
                <w:b/>
                <w:color w:val="1F4E79"/>
                <w:sz w:val="17"/>
              </w:rPr>
              <w:t>Prepared for</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Rahul and mentor team</w:t>
            </w:r>
          </w:p>
        </w:tc>
      </w:tr>
      <w:tr>
        <w:tc>
          <w:tcPr>
            <w:tcW w:type="dxa" w:w="5184"/>
            <w:vAlign w:val="top"/>
            <w:tcBorders>
              <w:top w:val="single" w:sz="6" w:space="0" w:color="D9D9D9"/>
              <w:left w:val="single" w:sz="6" w:space="0" w:color="D9D9D9"/>
              <w:bottom w:val="single" w:sz="6" w:space="0" w:color="D9D9D9"/>
              <w:right w:val="single" w:sz="6" w:space="0" w:color="D9D9D9"/>
            </w:tcBorders>
            <w:shd w:fill="D9EAF7"/>
          </w:tcPr>
          <w:p>
            <w:pPr>
              <w:spacing w:after="0"/>
            </w:pPr>
            <w:r>
              <w:rPr>
                <w:b/>
                <w:color w:val="1F4E79"/>
                <w:sz w:val="17"/>
              </w:rPr>
              <w:t>Initial scope</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Rank 9 analyzed stocks; scale to 50, 100, and 200+ stocks</w:t>
            </w:r>
          </w:p>
        </w:tc>
      </w:tr>
      <w:tr>
        <w:tc>
          <w:tcPr>
            <w:tcW w:type="dxa" w:w="5184"/>
            <w:vAlign w:val="top"/>
            <w:tcBorders>
              <w:top w:val="single" w:sz="6" w:space="0" w:color="D9D9D9"/>
              <w:left w:val="single" w:sz="6" w:space="0" w:color="D9D9D9"/>
              <w:bottom w:val="single" w:sz="6" w:space="0" w:color="D9D9D9"/>
              <w:right w:val="single" w:sz="6" w:space="0" w:color="D9D9D9"/>
            </w:tcBorders>
            <w:shd w:fill="D9EAF7"/>
          </w:tcPr>
          <w:p>
            <w:pPr>
              <w:spacing w:after="0"/>
            </w:pPr>
            <w:r>
              <w:rPr>
                <w:b/>
                <w:color w:val="1F4E79"/>
                <w:sz w:val="17"/>
              </w:rPr>
              <w:t>Primary objective</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Prioritize growth-stock research ideas using a sector-aware, multi-factor scoring framework</w:t>
            </w:r>
          </w:p>
        </w:tc>
      </w:tr>
    </w:tbl>
    <w:p/>
    <w:tbl>
      <w:tblPr>
        <w:tblW w:type="auto" w:w="0"/>
        <w:jc w:val="center"/>
        <w:tblLook w:firstColumn="1" w:firstRow="1" w:lastColumn="0" w:lastRow="0" w:noHBand="0" w:noVBand="1" w:val="04A0"/>
      </w:tblPr>
      <w:tblGrid>
        <w:gridCol w:w="10368"/>
      </w:tblGrid>
      <w:tr>
        <w:tc>
          <w:tcPr>
            <w:tcW w:type="dxa" w:w="10368"/>
            <w:shd w:fill="EAF2F8"/>
            <w:tcBorders>
              <w:top w:val="single" w:sz="12" w:space="0" w:color="1F4E79"/>
              <w:left w:val="single" w:sz="12" w:space="0" w:color="1F4E79"/>
              <w:bottom w:val="single" w:sz="12" w:space="0" w:color="1F4E79"/>
              <w:right w:val="single" w:sz="12" w:space="0" w:color="1F4E79"/>
            </w:tcBorders>
          </w:tcPr>
          <w:p>
            <w:pPr>
              <w:spacing w:after="80"/>
            </w:pPr>
            <w:r>
              <w:rPr>
                <w:b/>
                <w:color w:val="1F4E79"/>
                <w:sz w:val="21"/>
              </w:rPr>
              <w:t>Executive intent</w:t>
            </w:r>
          </w:p>
          <w:p>
            <w:pPr>
              <w:spacing w:after="0"/>
            </w:pPr>
            <w:r>
              <w:rPr>
                <w:sz w:val="19"/>
              </w:rPr>
              <w:t>Rahul has already built detailed company dashboards for several growth stocks, including examples such as META, AMD, MU, PLTR, and others. The next requirement is to rank all analyzed stocks from highest to lowest research priority. The system must work for 9 stocks now and scale to 50, 100, or 200+ stocks without rewriting the logic for every company.</w:t>
            </w:r>
          </w:p>
        </w:tc>
      </w:tr>
    </w:tbl>
    <w:p/>
    <w:p>
      <w:pPr>
        <w:jc w:val="center"/>
      </w:pPr>
      <w:r>
        <w:rPr>
          <w:i/>
          <w:color w:val="646464"/>
          <w:sz w:val="18"/>
        </w:rPr>
        <w:t>Research use only - not personalized financial advice</w:t>
      </w:r>
    </w:p>
    <w:p>
      <w:r>
        <w:br w:type="page"/>
      </w:r>
    </w:p>
    <w:p>
      <w:pPr>
        <w:jc w:val="center"/>
      </w:pPr>
      <w:r>
        <w:rPr>
          <w:b/>
          <w:color w:val="1F4E79"/>
          <w:sz w:val="40"/>
        </w:rPr>
        <w:t>Contents</w:t>
      </w:r>
    </w:p>
    <w:p>
      <w:pPr>
        <w:pStyle w:val="ListBullet"/>
        <w:spacing w:after="40"/>
      </w:pPr>
      <w:r>
        <w:t>1. Executive Summary</w:t>
      </w:r>
    </w:p>
    <w:p>
      <w:pPr>
        <w:pStyle w:val="ListBullet"/>
        <w:spacing w:after="40"/>
      </w:pPr>
      <w:r>
        <w:t>2. Problem Statement</w:t>
      </w:r>
    </w:p>
    <w:p>
      <w:pPr>
        <w:pStyle w:val="ListBullet"/>
        <w:spacing w:after="40"/>
      </w:pPr>
      <w:r>
        <w:t>3. Goals and Non-Goals</w:t>
      </w:r>
    </w:p>
    <w:p>
      <w:pPr>
        <w:pStyle w:val="ListBullet"/>
        <w:spacing w:after="40"/>
      </w:pPr>
      <w:r>
        <w:t>4. Users and Use Cases</w:t>
      </w:r>
    </w:p>
    <w:p>
      <w:pPr>
        <w:pStyle w:val="ListBullet"/>
        <w:spacing w:after="40"/>
      </w:pPr>
      <w:r>
        <w:t>5. Ranking Philosophy</w:t>
      </w:r>
    </w:p>
    <w:p>
      <w:pPr>
        <w:pStyle w:val="ListBullet"/>
        <w:spacing w:after="40"/>
      </w:pPr>
      <w:r>
        <w:t>6. Scoring Architecture</w:t>
      </w:r>
    </w:p>
    <w:p>
      <w:pPr>
        <w:pStyle w:val="ListBullet"/>
        <w:spacing w:after="40"/>
      </w:pPr>
      <w:r>
        <w:t>7. Sector-Aware Weighting Framework</w:t>
      </w:r>
    </w:p>
    <w:p>
      <w:pPr>
        <w:pStyle w:val="ListBullet"/>
        <w:spacing w:after="40"/>
      </w:pPr>
      <w:r>
        <w:t>8. Factor Definitions and Rubrics</w:t>
      </w:r>
    </w:p>
    <w:p>
      <w:pPr>
        <w:pStyle w:val="ListBullet"/>
        <w:spacing w:after="40"/>
      </w:pPr>
      <w:r>
        <w:t>9. Ranking Output Requirements</w:t>
      </w:r>
    </w:p>
    <w:p>
      <w:pPr>
        <w:pStyle w:val="ListBullet"/>
        <w:spacing w:after="40"/>
      </w:pPr>
      <w:r>
        <w:t>10. Dashboard Requirements</w:t>
      </w:r>
    </w:p>
    <w:p>
      <w:pPr>
        <w:pStyle w:val="ListBullet"/>
        <w:spacing w:after="40"/>
      </w:pPr>
      <w:r>
        <w:t>11. Data Model and Schema</w:t>
      </w:r>
    </w:p>
    <w:p>
      <w:pPr>
        <w:pStyle w:val="ListBullet"/>
        <w:spacing w:after="40"/>
      </w:pPr>
      <w:r>
        <w:t>12. Workflow and QA</w:t>
      </w:r>
    </w:p>
    <w:p>
      <w:pPr>
        <w:pStyle w:val="ListBullet"/>
        <w:spacing w:after="40"/>
      </w:pPr>
      <w:r>
        <w:t>13. Rollout Plan</w:t>
      </w:r>
    </w:p>
    <w:p>
      <w:pPr>
        <w:pStyle w:val="ListBullet"/>
        <w:spacing w:after="40"/>
      </w:pPr>
      <w:r>
        <w:t>14. Risks and Mitigations</w:t>
      </w:r>
    </w:p>
    <w:p>
      <w:pPr>
        <w:pStyle w:val="ListBullet"/>
        <w:spacing w:after="40"/>
      </w:pPr>
      <w:r>
        <w:t>15. Acceptance Criteria</w:t>
      </w:r>
    </w:p>
    <w:p>
      <w:pPr>
        <w:pStyle w:val="ListBullet"/>
        <w:spacing w:after="40"/>
      </w:pPr>
      <w:r>
        <w:t>16. Appendix: Example Priority Board</w:t>
      </w:r>
    </w:p>
    <w:p>
      <w:r>
        <w:br w:type="page"/>
      </w:r>
    </w:p>
    <w:p>
      <w:pPr>
        <w:pStyle w:val="Heading1"/>
      </w:pPr>
      <w:r>
        <w:t>1. Executive Summary</w:t>
      </w:r>
    </w:p>
    <w:p>
      <w:r>
        <w:t>Rahul is building a local research website that consolidates institutional-style equity research for growth stocks. Each company dashboard contains fundamental analysis, technical analysis, options analysis, valuation comparables, management credibility/MCS, consolidated view, and executive summary. The next product requirement is a portfolio-level ranking engine that compares all analyzed stocks and produces a priority list.</w:t>
      </w:r>
    </w:p>
    <w:p>
      <w:r>
        <w:t>The ranking system should not be rigid. It must dynamically adjust by sector and data quality while keeping a consistent output: a composite score from 0 to 100 and a rank from 1 to N, where 1 is the highest-priority stock in the current analyzed basket. For the current 9-stock basket, the dashboard should show ranks 1 through 9. When the universe grows to 50 stocks, it should show ranks 1 through 50. At 100 stocks, ranks 1 through 100, and so on.</w:t>
      </w:r>
    </w:p>
    <w:tbl>
      <w:tblPr>
        <w:tblW w:type="auto" w:w="0"/>
        <w:jc w:val="center"/>
        <w:tblLook w:firstColumn="1" w:firstRow="1" w:lastColumn="0" w:lastRow="0" w:noHBand="0" w:noVBand="1" w:val="04A0"/>
      </w:tblPr>
      <w:tblGrid>
        <w:gridCol w:w="10368"/>
      </w:tblGrid>
      <w:tr>
        <w:tc>
          <w:tcPr>
            <w:tcW w:type="dxa" w:w="10368"/>
            <w:shd w:fill="E2F0D9"/>
            <w:tcBorders>
              <w:top w:val="single" w:sz="12" w:space="0" w:color="548235"/>
              <w:left w:val="single" w:sz="12" w:space="0" w:color="548235"/>
              <w:bottom w:val="single" w:sz="12" w:space="0" w:color="548235"/>
              <w:right w:val="single" w:sz="12" w:space="0" w:color="548235"/>
            </w:tcBorders>
          </w:tcPr>
          <w:p>
            <w:pPr>
              <w:spacing w:after="80"/>
            </w:pPr>
            <w:r>
              <w:rPr>
                <w:b/>
                <w:color w:val="548235"/>
                <w:sz w:val="21"/>
              </w:rPr>
              <w:t>Core decision rule</w:t>
            </w:r>
          </w:p>
          <w:p>
            <w:pPr>
              <w:spacing w:after="0"/>
            </w:pPr>
            <w:r>
              <w:rPr>
                <w:sz w:val="19"/>
              </w:rPr>
              <w:t>Higher composite score is better. Lower rank number is better. Rank 1 means the best available research candidate in the current basket, not necessarily an unconditional buy recommendation.</w:t>
            </w:r>
          </w:p>
        </w:tc>
      </w:tr>
    </w:tbl>
    <w:p>
      <w:pPr>
        <w:pStyle w:val="Heading2"/>
      </w:pPr>
      <w:r>
        <w:t>1.1 Target Outcome</w:t>
      </w:r>
    </w:p>
    <w:p>
      <w:pPr>
        <w:pStyle w:val="ListBullet"/>
        <w:spacing w:after="40"/>
      </w:pPr>
      <w:r>
        <w:t>A portfolio-level page called Priority Ranking or Research Priority Board.</w:t>
      </w:r>
    </w:p>
    <w:p>
      <w:pPr>
        <w:pStyle w:val="ListBullet"/>
        <w:spacing w:after="40"/>
      </w:pPr>
      <w:r>
        <w:t>A normalized 0-100 score for every analyzed ticker.</w:t>
      </w:r>
    </w:p>
    <w:p>
      <w:pPr>
        <w:pStyle w:val="ListBullet"/>
        <w:spacing w:after="40"/>
      </w:pPr>
      <w:r>
        <w:t>A rank from 1 to N, where N equals the number of analyzed stocks.</w:t>
      </w:r>
    </w:p>
    <w:p>
      <w:pPr>
        <w:pStyle w:val="ListBullet"/>
        <w:spacing w:after="40"/>
      </w:pPr>
      <w:r>
        <w:t>A sector-aware weighting model that adapts to semiconductors, software/platforms, EV/autonomy, crypto/fintech, and financials.</w:t>
      </w:r>
    </w:p>
    <w:p>
      <w:pPr>
        <w:pStyle w:val="ListBullet"/>
        <w:spacing w:after="40"/>
      </w:pPr>
      <w:r>
        <w:t>A confidence score that tells reviewers whether the ranking is based on complete data or partial data.</w:t>
      </w:r>
    </w:p>
    <w:p>
      <w:pPr>
        <w:pStyle w:val="ListBullet"/>
        <w:spacing w:after="40"/>
      </w:pPr>
      <w:r>
        <w:t>A clear explanation of why each stock is ranked where it is.</w:t>
      </w:r>
    </w:p>
    <w:p>
      <w:pPr>
        <w:pStyle w:val="Heading2"/>
      </w:pPr>
      <w:r>
        <w:t>1.2 System Diagram</w:t>
      </w:r>
    </w:p>
    <w:p>
      <w:pPr>
        <w:jc w:val="center"/>
      </w:pPr>
      <w:r>
        <w:drawing>
          <wp:inline xmlns:a="http://schemas.openxmlformats.org/drawingml/2006/main" xmlns:pic="http://schemas.openxmlformats.org/drawingml/2006/picture">
            <wp:extent cx="6309360" cy="2171675"/>
            <wp:docPr id="1" name="Picture 1"/>
            <wp:cNvGraphicFramePr>
              <a:graphicFrameLocks noChangeAspect="1"/>
            </wp:cNvGraphicFramePr>
            <a:graphic>
              <a:graphicData uri="http://schemas.openxmlformats.org/drawingml/2006/picture">
                <pic:pic>
                  <pic:nvPicPr>
                    <pic:cNvPr id="0" name="rahul_ranking_flowchart.png"/>
                    <pic:cNvPicPr/>
                  </pic:nvPicPr>
                  <pic:blipFill>
                    <a:blip r:embed="rId9"/>
                    <a:stretch>
                      <a:fillRect/>
                    </a:stretch>
                  </pic:blipFill>
                  <pic:spPr>
                    <a:xfrm>
                      <a:off x="0" y="0"/>
                      <a:ext cx="6309360" cy="2171675"/>
                    </a:xfrm>
                    <a:prstGeom prst="rect"/>
                  </pic:spPr>
                </pic:pic>
              </a:graphicData>
            </a:graphic>
          </wp:inline>
        </w:drawing>
      </w:r>
    </w:p>
    <w:p>
      <w:pPr>
        <w:jc w:val="center"/>
      </w:pPr>
      <w:r>
        <w:rPr>
          <w:i/>
          <w:sz w:val="17"/>
        </w:rPr>
        <w:t>Figure 1. End-to-end ranking workflow from company dashboard to final research priority board.</w:t>
      </w:r>
    </w:p>
    <w:p>
      <w:pPr>
        <w:pStyle w:val="Heading1"/>
      </w:pPr>
      <w:r>
        <w:t>2. Problem Statement</w:t>
      </w:r>
    </w:p>
    <w:p>
      <w:r>
        <w:t>The current workflow creates high-quality company-specific dashboards, but as Rahul scales from 9 companies to 50, 100, or 200 companies, the team needs a systematic way to decide which ideas deserve the most attention. Without a ranking framework, reviewers will have too many reports and no clear prioritization mechanism.</w:t>
      </w:r>
    </w:p>
    <w:p>
      <w:pPr>
        <w:pStyle w:val="Heading2"/>
      </w:pPr>
      <w:r>
        <w:t>2.1 Current Pain Points</w:t>
      </w:r>
    </w:p>
    <w:tbl>
      <w:tblPr>
        <w:tblW w:type="auto" w:w="0"/>
        <w:jc w:val="center"/>
        <w:tblLook w:firstColumn="1" w:firstRow="1" w:lastColumn="0" w:lastRow="0" w:noHBand="0" w:noVBand="1" w:val="04A0"/>
      </w:tblPr>
      <w:tblGrid>
        <w:gridCol w:w="3456"/>
        <w:gridCol w:w="3456"/>
        <w:gridCol w:w="3456"/>
      </w:tblGrid>
      <w:tr>
        <w:tc>
          <w:tcPr>
            <w:tcW w:type="dxa" w:w="237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Pain point</w:t>
            </w:r>
          </w:p>
        </w:tc>
        <w:tc>
          <w:tcPr>
            <w:tcW w:type="dxa" w:w="324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Impact</w:t>
            </w:r>
          </w:p>
        </w:tc>
        <w:tc>
          <w:tcPr>
            <w:tcW w:type="dxa" w:w="367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Required solution</w:t>
            </w:r>
          </w:p>
        </w:tc>
      </w:tr>
      <w:tr>
        <w:tc>
          <w:tcPr>
            <w:tcW w:type="dxa" w:w="2376"/>
            <w:vAlign w:val="top"/>
            <w:tcBorders>
              <w:top w:val="single" w:sz="6" w:space="0" w:color="D9D9D9"/>
              <w:left w:val="single" w:sz="6" w:space="0" w:color="D9D9D9"/>
              <w:bottom w:val="single" w:sz="6" w:space="0" w:color="D9D9D9"/>
              <w:right w:val="single" w:sz="6" w:space="0" w:color="D9D9D9"/>
            </w:tcBorders>
          </w:tcPr>
          <w:p>
            <w:pPr>
              <w:spacing w:after="0"/>
            </w:pPr>
            <w:r>
              <w:rPr>
                <w:sz w:val="17"/>
              </w:rPr>
              <w:t>Many company dashboards</w:t>
            </w:r>
          </w:p>
        </w:tc>
        <w:tc>
          <w:tcPr>
            <w:tcW w:type="dxa" w:w="3240"/>
            <w:vAlign w:val="top"/>
            <w:tcBorders>
              <w:top w:val="single" w:sz="6" w:space="0" w:color="D9D9D9"/>
              <w:left w:val="single" w:sz="6" w:space="0" w:color="D9D9D9"/>
              <w:bottom w:val="single" w:sz="6" w:space="0" w:color="D9D9D9"/>
              <w:right w:val="single" w:sz="6" w:space="0" w:color="D9D9D9"/>
            </w:tcBorders>
          </w:tcPr>
          <w:p>
            <w:pPr>
              <w:spacing w:after="0"/>
            </w:pPr>
            <w:r>
              <w:rPr>
                <w:sz w:val="17"/>
              </w:rPr>
              <w:t>Reviewers cannot easily decide where to focus first.</w:t>
            </w:r>
          </w:p>
        </w:tc>
        <w:tc>
          <w:tcPr>
            <w:tcW w:type="dxa" w:w="3672"/>
            <w:vAlign w:val="top"/>
            <w:tcBorders>
              <w:top w:val="single" w:sz="6" w:space="0" w:color="D9D9D9"/>
              <w:left w:val="single" w:sz="6" w:space="0" w:color="D9D9D9"/>
              <w:bottom w:val="single" w:sz="6" w:space="0" w:color="D9D9D9"/>
              <w:right w:val="single" w:sz="6" w:space="0" w:color="D9D9D9"/>
            </w:tcBorders>
          </w:tcPr>
          <w:p>
            <w:pPr>
              <w:spacing w:after="0"/>
            </w:pPr>
            <w:r>
              <w:rPr>
                <w:sz w:val="17"/>
              </w:rPr>
              <w:t>Create a portfolio-level priority board.</w:t>
            </w:r>
          </w:p>
        </w:tc>
      </w:tr>
      <w:tr>
        <w:tc>
          <w:tcPr>
            <w:tcW w:type="dxa" w:w="2376"/>
            <w:vAlign w:val="top"/>
            <w:tcBorders>
              <w:top w:val="single" w:sz="6" w:space="0" w:color="D9D9D9"/>
              <w:left w:val="single" w:sz="6" w:space="0" w:color="D9D9D9"/>
              <w:bottom w:val="single" w:sz="6" w:space="0" w:color="D9D9D9"/>
              <w:right w:val="single" w:sz="6" w:space="0" w:color="D9D9D9"/>
            </w:tcBorders>
          </w:tcPr>
          <w:p>
            <w:pPr>
              <w:spacing w:after="0"/>
            </w:pPr>
            <w:r>
              <w:rPr>
                <w:sz w:val="17"/>
              </w:rPr>
              <w:t>Different sectors have different drivers</w:t>
            </w:r>
          </w:p>
        </w:tc>
        <w:tc>
          <w:tcPr>
            <w:tcW w:type="dxa" w:w="3240"/>
            <w:vAlign w:val="top"/>
            <w:tcBorders>
              <w:top w:val="single" w:sz="6" w:space="0" w:color="D9D9D9"/>
              <w:left w:val="single" w:sz="6" w:space="0" w:color="D9D9D9"/>
              <w:bottom w:val="single" w:sz="6" w:space="0" w:color="D9D9D9"/>
              <w:right w:val="single" w:sz="6" w:space="0" w:color="D9D9D9"/>
            </w:tcBorders>
          </w:tcPr>
          <w:p>
            <w:pPr>
              <w:spacing w:after="0"/>
            </w:pPr>
            <w:r>
              <w:rPr>
                <w:sz w:val="17"/>
              </w:rPr>
              <w:t>A fixed weighting model may rank companies unfairly.</w:t>
            </w:r>
          </w:p>
        </w:tc>
        <w:tc>
          <w:tcPr>
            <w:tcW w:type="dxa" w:w="3672"/>
            <w:vAlign w:val="top"/>
            <w:tcBorders>
              <w:top w:val="single" w:sz="6" w:space="0" w:color="D9D9D9"/>
              <w:left w:val="single" w:sz="6" w:space="0" w:color="D9D9D9"/>
              <w:bottom w:val="single" w:sz="6" w:space="0" w:color="D9D9D9"/>
              <w:right w:val="single" w:sz="6" w:space="0" w:color="D9D9D9"/>
            </w:tcBorders>
          </w:tcPr>
          <w:p>
            <w:pPr>
              <w:spacing w:after="0"/>
            </w:pPr>
            <w:r>
              <w:rPr>
                <w:sz w:val="17"/>
              </w:rPr>
              <w:t>Use sector-aware weights and dynamic adjustments.</w:t>
            </w:r>
          </w:p>
        </w:tc>
      </w:tr>
      <w:tr>
        <w:tc>
          <w:tcPr>
            <w:tcW w:type="dxa" w:w="2376"/>
            <w:vAlign w:val="top"/>
            <w:tcBorders>
              <w:top w:val="single" w:sz="6" w:space="0" w:color="D9D9D9"/>
              <w:left w:val="single" w:sz="6" w:space="0" w:color="D9D9D9"/>
              <w:bottom w:val="single" w:sz="6" w:space="0" w:color="D9D9D9"/>
              <w:right w:val="single" w:sz="6" w:space="0" w:color="D9D9D9"/>
            </w:tcBorders>
          </w:tcPr>
          <w:p>
            <w:pPr>
              <w:spacing w:after="0"/>
            </w:pPr>
            <w:r>
              <w:rPr>
                <w:sz w:val="17"/>
              </w:rPr>
              <w:t>Data completeness varies</w:t>
            </w:r>
          </w:p>
        </w:tc>
        <w:tc>
          <w:tcPr>
            <w:tcW w:type="dxa" w:w="3240"/>
            <w:vAlign w:val="top"/>
            <w:tcBorders>
              <w:top w:val="single" w:sz="6" w:space="0" w:color="D9D9D9"/>
              <w:left w:val="single" w:sz="6" w:space="0" w:color="D9D9D9"/>
              <w:bottom w:val="single" w:sz="6" w:space="0" w:color="D9D9D9"/>
              <w:right w:val="single" w:sz="6" w:space="0" w:color="D9D9D9"/>
            </w:tcBorders>
          </w:tcPr>
          <w:p>
            <w:pPr>
              <w:spacing w:after="0"/>
            </w:pPr>
            <w:r>
              <w:rPr>
                <w:sz w:val="17"/>
              </w:rPr>
              <w:t>Some tickers may have missing options, MCS, or valuation data.</w:t>
            </w:r>
          </w:p>
        </w:tc>
        <w:tc>
          <w:tcPr>
            <w:tcW w:type="dxa" w:w="3672"/>
            <w:vAlign w:val="top"/>
            <w:tcBorders>
              <w:top w:val="single" w:sz="6" w:space="0" w:color="D9D9D9"/>
              <w:left w:val="single" w:sz="6" w:space="0" w:color="D9D9D9"/>
              <w:bottom w:val="single" w:sz="6" w:space="0" w:color="D9D9D9"/>
              <w:right w:val="single" w:sz="6" w:space="0" w:color="D9D9D9"/>
            </w:tcBorders>
          </w:tcPr>
          <w:p>
            <w:pPr>
              <w:spacing w:after="0"/>
            </w:pPr>
            <w:r>
              <w:rPr>
                <w:sz w:val="17"/>
              </w:rPr>
              <w:t>Add confidence scoring and missing-data handling.</w:t>
            </w:r>
          </w:p>
        </w:tc>
      </w:tr>
      <w:tr>
        <w:tc>
          <w:tcPr>
            <w:tcW w:type="dxa" w:w="2376"/>
            <w:vAlign w:val="top"/>
            <w:tcBorders>
              <w:top w:val="single" w:sz="6" w:space="0" w:color="D9D9D9"/>
              <w:left w:val="single" w:sz="6" w:space="0" w:color="D9D9D9"/>
              <w:bottom w:val="single" w:sz="6" w:space="0" w:color="D9D9D9"/>
              <w:right w:val="single" w:sz="6" w:space="0" w:color="D9D9D9"/>
            </w:tcBorders>
          </w:tcPr>
          <w:p>
            <w:pPr>
              <w:spacing w:after="0"/>
            </w:pPr>
            <w:r>
              <w:rPr>
                <w:sz w:val="17"/>
              </w:rPr>
              <w:t>Growth stocks are heterogeneous</w:t>
            </w:r>
          </w:p>
        </w:tc>
        <w:tc>
          <w:tcPr>
            <w:tcW w:type="dxa" w:w="3240"/>
            <w:vAlign w:val="top"/>
            <w:tcBorders>
              <w:top w:val="single" w:sz="6" w:space="0" w:color="D9D9D9"/>
              <w:left w:val="single" w:sz="6" w:space="0" w:color="D9D9D9"/>
              <w:bottom w:val="single" w:sz="6" w:space="0" w:color="D9D9D9"/>
              <w:right w:val="single" w:sz="6" w:space="0" w:color="D9D9D9"/>
            </w:tcBorders>
          </w:tcPr>
          <w:p>
            <w:pPr>
              <w:spacing w:after="0"/>
            </w:pPr>
            <w:r>
              <w:rPr>
                <w:sz w:val="17"/>
              </w:rPr>
              <w:t>META, MU, TSLA, COIN, and financials should not be judged identically.</w:t>
            </w:r>
          </w:p>
        </w:tc>
        <w:tc>
          <w:tcPr>
            <w:tcW w:type="dxa" w:w="3672"/>
            <w:vAlign w:val="top"/>
            <w:tcBorders>
              <w:top w:val="single" w:sz="6" w:space="0" w:color="D9D9D9"/>
              <w:left w:val="single" w:sz="6" w:space="0" w:color="D9D9D9"/>
              <w:bottom w:val="single" w:sz="6" w:space="0" w:color="D9D9D9"/>
              <w:right w:val="single" w:sz="6" w:space="0" w:color="D9D9D9"/>
            </w:tcBorders>
          </w:tcPr>
          <w:p>
            <w:pPr>
              <w:spacing w:after="0"/>
            </w:pPr>
            <w:r>
              <w:rPr>
                <w:sz w:val="17"/>
              </w:rPr>
              <w:t>Use sector templates plus common scoring output.</w:t>
            </w:r>
          </w:p>
        </w:tc>
      </w:tr>
      <w:tr>
        <w:tc>
          <w:tcPr>
            <w:tcW w:type="dxa" w:w="2376"/>
            <w:vAlign w:val="top"/>
            <w:tcBorders>
              <w:top w:val="single" w:sz="6" w:space="0" w:color="D9D9D9"/>
              <w:left w:val="single" w:sz="6" w:space="0" w:color="D9D9D9"/>
              <w:bottom w:val="single" w:sz="6" w:space="0" w:color="D9D9D9"/>
              <w:right w:val="single" w:sz="6" w:space="0" w:color="D9D9D9"/>
            </w:tcBorders>
          </w:tcPr>
          <w:p>
            <w:pPr>
              <w:spacing w:after="0"/>
            </w:pPr>
            <w:r>
              <w:rPr>
                <w:sz w:val="17"/>
              </w:rPr>
              <w:t>MCS is central to this research project</w:t>
            </w:r>
          </w:p>
        </w:tc>
        <w:tc>
          <w:tcPr>
            <w:tcW w:type="dxa" w:w="3240"/>
            <w:vAlign w:val="top"/>
            <w:tcBorders>
              <w:top w:val="single" w:sz="6" w:space="0" w:color="D9D9D9"/>
              <w:left w:val="single" w:sz="6" w:space="0" w:color="D9D9D9"/>
              <w:bottom w:val="single" w:sz="6" w:space="0" w:color="D9D9D9"/>
              <w:right w:val="single" w:sz="6" w:space="0" w:color="D9D9D9"/>
            </w:tcBorders>
          </w:tcPr>
          <w:p>
            <w:pPr>
              <w:spacing w:after="0"/>
            </w:pPr>
            <w:r>
              <w:rPr>
                <w:sz w:val="17"/>
              </w:rPr>
              <w:t>Management credibility must be a real contributor, not an afterthought.</w:t>
            </w:r>
          </w:p>
        </w:tc>
        <w:tc>
          <w:tcPr>
            <w:tcW w:type="dxa" w:w="3672"/>
            <w:vAlign w:val="top"/>
            <w:tcBorders>
              <w:top w:val="single" w:sz="6" w:space="0" w:color="D9D9D9"/>
              <w:left w:val="single" w:sz="6" w:space="0" w:color="D9D9D9"/>
              <w:bottom w:val="single" w:sz="6" w:space="0" w:color="D9D9D9"/>
              <w:right w:val="single" w:sz="6" w:space="0" w:color="D9D9D9"/>
            </w:tcBorders>
          </w:tcPr>
          <w:p>
            <w:pPr>
              <w:spacing w:after="0"/>
            </w:pPr>
            <w:r>
              <w:rPr>
                <w:sz w:val="17"/>
              </w:rPr>
              <w:t>Assign MCS a meaningful weight, generally 15-25%, with 20% default for growth stocks.</w:t>
            </w:r>
          </w:p>
        </w:tc>
      </w:tr>
    </w:tbl>
    <w:p/>
    <w:p>
      <w:pPr>
        <w:pStyle w:val="Heading2"/>
      </w:pPr>
      <w:r>
        <w:t>2.2 Key Product Question</w:t>
      </w:r>
    </w:p>
    <w:tbl>
      <w:tblPr>
        <w:tblW w:type="auto" w:w="0"/>
        <w:jc w:val="center"/>
        <w:tblLook w:firstColumn="1" w:firstRow="1" w:lastColumn="0" w:lastRow="0" w:noHBand="0" w:noVBand="1" w:val="04A0"/>
      </w:tblPr>
      <w:tblGrid>
        <w:gridCol w:w="10368"/>
      </w:tblGrid>
      <w:tr>
        <w:tc>
          <w:tcPr>
            <w:tcW w:type="dxa" w:w="10368"/>
            <w:shd w:fill="FFF2CC"/>
            <w:tcBorders>
              <w:top w:val="single" w:sz="12" w:space="0" w:color="C55A11"/>
              <w:left w:val="single" w:sz="12" w:space="0" w:color="C55A11"/>
              <w:bottom w:val="single" w:sz="12" w:space="0" w:color="C55A11"/>
              <w:right w:val="single" w:sz="12" w:space="0" w:color="C55A11"/>
            </w:tcBorders>
          </w:tcPr>
          <w:p>
            <w:pPr>
              <w:spacing w:after="80"/>
            </w:pPr>
            <w:r>
              <w:rPr>
                <w:b/>
                <w:color w:val="C55A11"/>
                <w:sz w:val="21"/>
              </w:rPr>
              <w:t>Question to answer</w:t>
            </w:r>
          </w:p>
          <w:p>
            <w:pPr>
              <w:spacing w:after="0"/>
            </w:pPr>
            <w:r>
              <w:rPr>
                <w:sz w:val="19"/>
              </w:rPr>
              <w:t>Given a basket of analyzed growth stocks, which stocks are the highest-priority investment research candidates right now, and why?</w:t>
            </w:r>
          </w:p>
        </w:tc>
      </w:tr>
    </w:tbl>
    <w:p>
      <w:pPr>
        <w:pStyle w:val="Heading1"/>
      </w:pPr>
      <w:r>
        <w:t>3. Goals and Non-Goals</w:t>
      </w:r>
    </w:p>
    <w:p>
      <w:pPr>
        <w:pStyle w:val="Heading2"/>
      </w:pPr>
      <w:r>
        <w:t>3.1 Goals</w:t>
      </w:r>
    </w:p>
    <w:p>
      <w:pPr>
        <w:pStyle w:val="ListBullet"/>
        <w:spacing w:after="40"/>
      </w:pPr>
      <w:r>
        <w:t>Create a unified ranking framework across all analyzed companies.</w:t>
      </w:r>
    </w:p>
    <w:p>
      <w:pPr>
        <w:pStyle w:val="ListBullet"/>
        <w:spacing w:after="40"/>
      </w:pPr>
      <w:r>
        <w:t>Support current 9-stock ranking and future 50/100/200-stock universes.</w:t>
      </w:r>
    </w:p>
    <w:p>
      <w:pPr>
        <w:pStyle w:val="ListBullet"/>
        <w:spacing w:after="40"/>
      </w:pPr>
      <w:r>
        <w:t>Keep the system growth-stock focused but sector-aware.</w:t>
      </w:r>
    </w:p>
    <w:p>
      <w:pPr>
        <w:pStyle w:val="ListBullet"/>
        <w:spacing w:after="40"/>
      </w:pPr>
      <w:r>
        <w:t>Use core research lenses already in Rahul's dashboards: fundamentals, valuation, technicals, options, management credibility, and consolidated thesis/risk.</w:t>
      </w:r>
    </w:p>
    <w:p>
      <w:pPr>
        <w:pStyle w:val="ListBullet"/>
        <w:spacing w:after="40"/>
      </w:pPr>
      <w:r>
        <w:t>Assign management credibility a meaningful default weight around 20%.</w:t>
      </w:r>
    </w:p>
    <w:p>
      <w:pPr>
        <w:pStyle w:val="ListBullet"/>
        <w:spacing w:after="40"/>
      </w:pPr>
      <w:r>
        <w:t>Allow Claude Code to implement the system dynamically without hardcoding one ticker at a time.</w:t>
      </w:r>
    </w:p>
    <w:p>
      <w:pPr>
        <w:pStyle w:val="ListBullet"/>
        <w:spacing w:after="40"/>
      </w:pPr>
      <w:r>
        <w:t>Make rankings explainable to Megha, Rahul, and other reviewers.</w:t>
      </w:r>
    </w:p>
    <w:p>
      <w:pPr>
        <w:pStyle w:val="ListBullet"/>
        <w:spacing w:after="40"/>
      </w:pPr>
      <w:r>
        <w:t>Avoid treating the score as personalized financial advice.</w:t>
      </w:r>
    </w:p>
    <w:p>
      <w:pPr>
        <w:pStyle w:val="Heading2"/>
      </w:pPr>
      <w:r>
        <w:t>3.2 Non-Goals</w:t>
      </w:r>
    </w:p>
    <w:p>
      <w:pPr>
        <w:pStyle w:val="ListBullet"/>
        <w:spacing w:after="40"/>
      </w:pPr>
      <w:r>
        <w:t>Do not create a black-box ranking without factor-level explanations.</w:t>
      </w:r>
    </w:p>
    <w:p>
      <w:pPr>
        <w:pStyle w:val="ListBullet"/>
        <w:spacing w:after="40"/>
      </w:pPr>
      <w:r>
        <w:t>Do not use one rigid weighting model for all sectors.</w:t>
      </w:r>
    </w:p>
    <w:p>
      <w:pPr>
        <w:pStyle w:val="ListBullet"/>
        <w:spacing w:after="40"/>
      </w:pPr>
      <w:r>
        <w:t>Do not score missing data as zero unless the absence itself is a meaningful negative signal.</w:t>
      </w:r>
    </w:p>
    <w:p>
      <w:pPr>
        <w:pStyle w:val="ListBullet"/>
        <w:spacing w:after="40"/>
      </w:pPr>
      <w:r>
        <w:t>Do not declare automatic buy/sell decisions without human review.</w:t>
      </w:r>
    </w:p>
    <w:p>
      <w:pPr>
        <w:pStyle w:val="ListBullet"/>
        <w:spacing w:after="40"/>
      </w:pPr>
      <w:r>
        <w:t>Do not replace analyst judgment. The ranking system should prioritize research, not make final portfolio decisions.</w:t>
      </w:r>
    </w:p>
    <w:p>
      <w:pPr>
        <w:pStyle w:val="ListBullet"/>
        <w:spacing w:after="40"/>
      </w:pPr>
      <w:r>
        <w:t>Do not optimize for day trading only. The primary horizon is growth-stock research across short-term, medium-term, and 6-12 month views.</w:t>
      </w:r>
    </w:p>
    <w:p>
      <w:pPr>
        <w:pStyle w:val="Heading1"/>
      </w:pPr>
      <w:r>
        <w:t>4. Users and Use Cases</w:t>
      </w:r>
    </w:p>
    <w:tbl>
      <w:tblPr>
        <w:tblW w:type="auto" w:w="0"/>
        <w:jc w:val="center"/>
        <w:tblLook w:firstColumn="1" w:firstRow="1" w:lastColumn="0" w:lastRow="0" w:noHBand="0" w:noVBand="1" w:val="04A0"/>
      </w:tblPr>
      <w:tblGrid>
        <w:gridCol w:w="3456"/>
        <w:gridCol w:w="3456"/>
        <w:gridCol w:w="3456"/>
      </w:tblGrid>
      <w:tr>
        <w:tc>
          <w:tcPr>
            <w:tcW w:type="dxa" w:w="187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User</w:t>
            </w:r>
          </w:p>
        </w:tc>
        <w:tc>
          <w:tcPr>
            <w:tcW w:type="dxa" w:w="345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Need</w:t>
            </w:r>
          </w:p>
        </w:tc>
        <w:tc>
          <w:tcPr>
            <w:tcW w:type="dxa" w:w="43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How the ranking system helps</w:t>
            </w:r>
          </w:p>
        </w:tc>
      </w:tr>
      <w:tr>
        <w:tc>
          <w:tcPr>
            <w:tcW w:type="dxa" w:w="1872"/>
            <w:vAlign w:val="top"/>
            <w:tcBorders>
              <w:top w:val="single" w:sz="6" w:space="0" w:color="D9D9D9"/>
              <w:left w:val="single" w:sz="6" w:space="0" w:color="D9D9D9"/>
              <w:bottom w:val="single" w:sz="6" w:space="0" w:color="D9D9D9"/>
              <w:right w:val="single" w:sz="6" w:space="0" w:color="D9D9D9"/>
            </w:tcBorders>
          </w:tcPr>
          <w:p>
            <w:pPr>
              <w:spacing w:after="0"/>
            </w:pPr>
            <w:r>
              <w:rPr>
                <w:sz w:val="17"/>
              </w:rPr>
              <w:t>Rahul</w:t>
            </w:r>
          </w:p>
        </w:tc>
        <w:tc>
          <w:tcPr>
            <w:tcW w:type="dxa" w:w="3456"/>
            <w:vAlign w:val="top"/>
            <w:tcBorders>
              <w:top w:val="single" w:sz="6" w:space="0" w:color="D9D9D9"/>
              <w:left w:val="single" w:sz="6" w:space="0" w:color="D9D9D9"/>
              <w:bottom w:val="single" w:sz="6" w:space="0" w:color="D9D9D9"/>
              <w:right w:val="single" w:sz="6" w:space="0" w:color="D9D9D9"/>
            </w:tcBorders>
          </w:tcPr>
          <w:p>
            <w:pPr>
              <w:spacing w:after="0"/>
            </w:pPr>
            <w:r>
              <w:rPr>
                <w:sz w:val="17"/>
              </w:rPr>
              <w:t>Understand which analyzed stocks deserve the most attention.</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Ranks stocks from 1 to N and explains factor contributions.</w:t>
            </w:r>
          </w:p>
        </w:tc>
      </w:tr>
      <w:tr>
        <w:tc>
          <w:tcPr>
            <w:tcW w:type="dxa" w:w="1872"/>
            <w:vAlign w:val="top"/>
            <w:tcBorders>
              <w:top w:val="single" w:sz="6" w:space="0" w:color="D9D9D9"/>
              <w:left w:val="single" w:sz="6" w:space="0" w:color="D9D9D9"/>
              <w:bottom w:val="single" w:sz="6" w:space="0" w:color="D9D9D9"/>
              <w:right w:val="single" w:sz="6" w:space="0" w:color="D9D9D9"/>
            </w:tcBorders>
          </w:tcPr>
          <w:p>
            <w:pPr>
              <w:spacing w:after="0"/>
            </w:pPr>
            <w:r>
              <w:rPr>
                <w:sz w:val="17"/>
              </w:rPr>
              <w:t>Megha</w:t>
            </w:r>
          </w:p>
        </w:tc>
        <w:tc>
          <w:tcPr>
            <w:tcW w:type="dxa" w:w="3456"/>
            <w:vAlign w:val="top"/>
            <w:tcBorders>
              <w:top w:val="single" w:sz="6" w:space="0" w:color="D9D9D9"/>
              <w:left w:val="single" w:sz="6" w:space="0" w:color="D9D9D9"/>
              <w:bottom w:val="single" w:sz="6" w:space="0" w:color="D9D9D9"/>
              <w:right w:val="single" w:sz="6" w:space="0" w:color="D9D9D9"/>
            </w:tcBorders>
          </w:tcPr>
          <w:p>
            <w:pPr>
              <w:spacing w:after="0"/>
            </w:pPr>
            <w:r>
              <w:rPr>
                <w:sz w:val="17"/>
              </w:rPr>
              <w:t>Review technical, valuation, and research completeness quickly.</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Provides lens-level scores and identifies weak/missing sections.</w:t>
            </w:r>
          </w:p>
        </w:tc>
      </w:tr>
      <w:tr>
        <w:tc>
          <w:tcPr>
            <w:tcW w:type="dxa" w:w="1872"/>
            <w:vAlign w:val="top"/>
            <w:tcBorders>
              <w:top w:val="single" w:sz="6" w:space="0" w:color="D9D9D9"/>
              <w:left w:val="single" w:sz="6" w:space="0" w:color="D9D9D9"/>
              <w:bottom w:val="single" w:sz="6" w:space="0" w:color="D9D9D9"/>
              <w:right w:val="single" w:sz="6" w:space="0" w:color="D9D9D9"/>
            </w:tcBorders>
          </w:tcPr>
          <w:p>
            <w:pPr>
              <w:spacing w:after="0"/>
            </w:pPr>
            <w:r>
              <w:rPr>
                <w:sz w:val="17"/>
              </w:rPr>
              <w:t>Mentor team</w:t>
            </w:r>
          </w:p>
        </w:tc>
        <w:tc>
          <w:tcPr>
            <w:tcW w:type="dxa" w:w="3456"/>
            <w:vAlign w:val="top"/>
            <w:tcBorders>
              <w:top w:val="single" w:sz="6" w:space="0" w:color="D9D9D9"/>
              <w:left w:val="single" w:sz="6" w:space="0" w:color="D9D9D9"/>
              <w:bottom w:val="single" w:sz="6" w:space="0" w:color="D9D9D9"/>
              <w:right w:val="single" w:sz="6" w:space="0" w:color="D9D9D9"/>
            </w:tcBorders>
          </w:tcPr>
          <w:p>
            <w:pPr>
              <w:spacing w:after="0"/>
            </w:pPr>
            <w:r>
              <w:rPr>
                <w:sz w:val="17"/>
              </w:rPr>
              <w:t>Scale research from 9 to 100+ tickers.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Adds a consistent portfolio-level selection layer.</w:t>
            </w:r>
          </w:p>
        </w:tc>
      </w:tr>
      <w:tr>
        <w:tc>
          <w:tcPr>
            <w:tcW w:type="dxa" w:w="1872"/>
            <w:vAlign w:val="top"/>
            <w:tcBorders>
              <w:top w:val="single" w:sz="6" w:space="0" w:color="D9D9D9"/>
              <w:left w:val="single" w:sz="6" w:space="0" w:color="D9D9D9"/>
              <w:bottom w:val="single" w:sz="6" w:space="0" w:color="D9D9D9"/>
              <w:right w:val="single" w:sz="6" w:space="0" w:color="D9D9D9"/>
            </w:tcBorders>
          </w:tcPr>
          <w:p>
            <w:pPr>
              <w:spacing w:after="0"/>
            </w:pPr>
            <w:r>
              <w:rPr>
                <w:sz w:val="17"/>
              </w:rPr>
              <w:t>AI/ML team</w:t>
            </w:r>
          </w:p>
        </w:tc>
        <w:tc>
          <w:tcPr>
            <w:tcW w:type="dxa" w:w="3456"/>
            <w:vAlign w:val="top"/>
            <w:tcBorders>
              <w:top w:val="single" w:sz="6" w:space="0" w:color="D9D9D9"/>
              <w:left w:val="single" w:sz="6" w:space="0" w:color="D9D9D9"/>
              <w:bottom w:val="single" w:sz="6" w:space="0" w:color="D9D9D9"/>
              <w:right w:val="single" w:sz="6" w:space="0" w:color="D9D9D9"/>
            </w:tcBorders>
          </w:tcPr>
          <w:p>
            <w:pPr>
              <w:spacing w:after="0"/>
            </w:pPr>
            <w:r>
              <w:rPr>
                <w:sz w:val="17"/>
              </w:rPr>
              <w:t>Convert research into model features.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Provides normalized factor scores and structured data schema.</w:t>
            </w:r>
          </w:p>
        </w:tc>
      </w:tr>
      <w:tr>
        <w:tc>
          <w:tcPr>
            <w:tcW w:type="dxa" w:w="1872"/>
            <w:vAlign w:val="top"/>
            <w:tcBorders>
              <w:top w:val="single" w:sz="6" w:space="0" w:color="D9D9D9"/>
              <w:left w:val="single" w:sz="6" w:space="0" w:color="D9D9D9"/>
              <w:bottom w:val="single" w:sz="6" w:space="0" w:color="D9D9D9"/>
              <w:right w:val="single" w:sz="6" w:space="0" w:color="D9D9D9"/>
            </w:tcBorders>
          </w:tcPr>
          <w:p>
            <w:pPr>
              <w:spacing w:after="0"/>
            </w:pPr>
            <w:r>
              <w:rPr>
                <w:sz w:val="17"/>
              </w:rPr>
              <w:t>Future investment bot</w:t>
            </w:r>
          </w:p>
        </w:tc>
        <w:tc>
          <w:tcPr>
            <w:tcW w:type="dxa" w:w="3456"/>
            <w:vAlign w:val="top"/>
            <w:tcBorders>
              <w:top w:val="single" w:sz="6" w:space="0" w:color="D9D9D9"/>
              <w:left w:val="single" w:sz="6" w:space="0" w:color="D9D9D9"/>
              <w:bottom w:val="single" w:sz="6" w:space="0" w:color="D9D9D9"/>
              <w:right w:val="single" w:sz="6" w:space="0" w:color="D9D9D9"/>
            </w:tcBorders>
          </w:tcPr>
          <w:p>
            <w:pPr>
              <w:spacing w:after="0"/>
            </w:pPr>
            <w:r>
              <w:rPr>
                <w:sz w:val="17"/>
              </w:rPr>
              <w:t>Use ranking as an input signal, not a final trade.</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Supplies composite score, confidence score, sector template, and factor breakdown.</w:t>
            </w:r>
          </w:p>
        </w:tc>
      </w:tr>
    </w:tbl>
    <w:p/>
    <w:p>
      <w:pPr>
        <w:pStyle w:val="Heading1"/>
      </w:pPr>
      <w:r>
        <w:t>5. Ranking Philosophy</w:t>
      </w:r>
    </w:p>
    <w:p>
      <w:r>
        <w:t>The ranking engine should behave like an institutional research triage system. It should not simply ask: “Is this a good company?” It should ask: “Among all analyzed companies, which idea has the best combination of growth quality, execution credibility, valuation support, technical setup, options/risk-reward, and near-term catalysts?”</w:t>
      </w:r>
    </w:p>
    <w:p>
      <w:pPr>
        <w:pStyle w:val="Heading2"/>
      </w:pPr>
      <w:r>
        <w:t>5.1 Score vs Rank</w:t>
      </w:r>
    </w:p>
    <w:tbl>
      <w:tblPr>
        <w:tblW w:type="auto" w:w="0"/>
        <w:jc w:val="center"/>
        <w:tblLook w:firstColumn="1" w:firstRow="1" w:lastColumn="0" w:lastRow="0" w:noHBand="0" w:noVBand="1" w:val="04A0"/>
      </w:tblPr>
      <w:tblGrid>
        <w:gridCol w:w="3456"/>
        <w:gridCol w:w="3456"/>
        <w:gridCol w:w="3456"/>
      </w:tblGrid>
      <w:tr>
        <w:tc>
          <w:tcPr>
            <w:tcW w:type="dxa" w:w="223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Term</w:t>
            </w:r>
          </w:p>
        </w:tc>
        <w:tc>
          <w:tcPr>
            <w:tcW w:type="dxa" w:w="489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Meaning</w:t>
            </w:r>
          </w:p>
        </w:tc>
        <w:tc>
          <w:tcPr>
            <w:tcW w:type="dxa" w:w="288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Example</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Composite Score</w:t>
            </w:r>
          </w:p>
        </w:tc>
        <w:tc>
          <w:tcPr>
            <w:tcW w:type="dxa" w:w="4896"/>
            <w:vAlign w:val="top"/>
            <w:tcBorders>
              <w:top w:val="single" w:sz="6" w:space="0" w:color="D9D9D9"/>
              <w:left w:val="single" w:sz="6" w:space="0" w:color="D9D9D9"/>
              <w:bottom w:val="single" w:sz="6" w:space="0" w:color="D9D9D9"/>
              <w:right w:val="single" w:sz="6" w:space="0" w:color="D9D9D9"/>
            </w:tcBorders>
          </w:tcPr>
          <w:p>
            <w:pPr>
              <w:spacing w:after="0"/>
            </w:pPr>
            <w:r>
              <w:rPr>
                <w:sz w:val="17"/>
              </w:rPr>
              <w:t>0-100 numeric score. Higher is better.</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META score = 82.5</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Priority Rank</w:t>
            </w:r>
          </w:p>
        </w:tc>
        <w:tc>
          <w:tcPr>
            <w:tcW w:type="dxa" w:w="4896"/>
            <w:vAlign w:val="top"/>
            <w:tcBorders>
              <w:top w:val="single" w:sz="6" w:space="0" w:color="D9D9D9"/>
              <w:left w:val="single" w:sz="6" w:space="0" w:color="D9D9D9"/>
              <w:bottom w:val="single" w:sz="6" w:space="0" w:color="D9D9D9"/>
              <w:right w:val="single" w:sz="6" w:space="0" w:color="D9D9D9"/>
            </w:tcBorders>
          </w:tcPr>
          <w:p>
            <w:pPr>
              <w:spacing w:after="0"/>
            </w:pPr>
            <w:r>
              <w:rPr>
                <w:sz w:val="17"/>
              </w:rPr>
              <w:t>Relative position inside the current basket. Lower is better.</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Rank 1 of 9 = best in current 9-stock basket</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Tier</w:t>
            </w:r>
          </w:p>
        </w:tc>
        <w:tc>
          <w:tcPr>
            <w:tcW w:type="dxa" w:w="4896"/>
            <w:vAlign w:val="top"/>
            <w:tcBorders>
              <w:top w:val="single" w:sz="6" w:space="0" w:color="D9D9D9"/>
              <w:left w:val="single" w:sz="6" w:space="0" w:color="D9D9D9"/>
              <w:bottom w:val="single" w:sz="6" w:space="0" w:color="D9D9D9"/>
              <w:right w:val="single" w:sz="6" w:space="0" w:color="D9D9D9"/>
            </w:tcBorders>
          </w:tcPr>
          <w:p>
            <w:pPr>
              <w:spacing w:after="0"/>
            </w:pPr>
            <w:r>
              <w:rPr>
                <w:sz w:val="17"/>
              </w:rPr>
              <w:t>Research bucket derived from score.</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A, B, C, D</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Confidence</w:t>
            </w:r>
          </w:p>
        </w:tc>
        <w:tc>
          <w:tcPr>
            <w:tcW w:type="dxa" w:w="4896"/>
            <w:vAlign w:val="top"/>
            <w:tcBorders>
              <w:top w:val="single" w:sz="6" w:space="0" w:color="D9D9D9"/>
              <w:left w:val="single" w:sz="6" w:space="0" w:color="D9D9D9"/>
              <w:bottom w:val="single" w:sz="6" w:space="0" w:color="D9D9D9"/>
              <w:right w:val="single" w:sz="6" w:space="0" w:color="D9D9D9"/>
            </w:tcBorders>
          </w:tcPr>
          <w:p>
            <w:pPr>
              <w:spacing w:after="0"/>
            </w:pPr>
            <w:r>
              <w:rPr>
                <w:sz w:val="17"/>
              </w:rPr>
              <w:t>Quality/completeness of data behind the score.</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High, Medium, Low</w:t>
            </w:r>
          </w:p>
        </w:tc>
      </w:tr>
    </w:tbl>
    <w:p/>
    <w:tbl>
      <w:tblPr>
        <w:tblW w:type="auto" w:w="0"/>
        <w:jc w:val="center"/>
        <w:tblLook w:firstColumn="1" w:firstRow="1" w:lastColumn="0" w:lastRow="0" w:noHBand="0" w:noVBand="1" w:val="04A0"/>
      </w:tblPr>
      <w:tblGrid>
        <w:gridCol w:w="10368"/>
      </w:tblGrid>
      <w:tr>
        <w:tc>
          <w:tcPr>
            <w:tcW w:type="dxa" w:w="10368"/>
            <w:shd w:fill="FCE4D6"/>
            <w:tcBorders>
              <w:top w:val="single" w:sz="12" w:space="0" w:color="C00000"/>
              <w:left w:val="single" w:sz="12" w:space="0" w:color="C00000"/>
              <w:bottom w:val="single" w:sz="12" w:space="0" w:color="C00000"/>
              <w:right w:val="single" w:sz="12" w:space="0" w:color="C00000"/>
            </w:tcBorders>
          </w:tcPr>
          <w:p>
            <w:pPr>
              <w:spacing w:after="80"/>
            </w:pPr>
            <w:r>
              <w:rPr>
                <w:b/>
                <w:color w:val="C00000"/>
                <w:sz w:val="21"/>
              </w:rPr>
              <w:t>Important rule</w:t>
            </w:r>
          </w:p>
          <w:p>
            <w:pPr>
              <w:spacing w:after="0"/>
            </w:pPr>
            <w:r>
              <w:rPr>
                <w:sz w:val="19"/>
              </w:rPr>
              <w:t>A stock can have a high score but low confidence if the data is incomplete. It should not outrank a fully analyzed stock unless the dashboard clearly explains the uncertainty.</w:t>
            </w:r>
          </w:p>
        </w:tc>
      </w:tr>
    </w:tbl>
    <w:p>
      <w:pPr>
        <w:pStyle w:val="Heading2"/>
      </w:pPr>
      <w:r>
        <w:t>5.2 Ranking Horizon</w:t>
      </w:r>
    </w:p>
    <w:p>
      <w:pPr>
        <w:pStyle w:val="ListBullet"/>
        <w:spacing w:after="40"/>
      </w:pPr>
      <w:r>
        <w:t>Primary horizon: 3-12 months for growth-stock investment research.</w:t>
      </w:r>
    </w:p>
    <w:p>
      <w:pPr>
        <w:pStyle w:val="ListBullet"/>
        <w:spacing w:after="40"/>
      </w:pPr>
      <w:r>
        <w:t>Secondary horizon: 1-4 weeks for technical/options timing.</w:t>
      </w:r>
    </w:p>
    <w:p>
      <w:pPr>
        <w:pStyle w:val="ListBullet"/>
        <w:spacing w:after="40"/>
      </w:pPr>
      <w:r>
        <w:t>Earnings horizon: pre-earnings and post-earnings analysis using MCS and options volatility.</w:t>
      </w:r>
    </w:p>
    <w:p>
      <w:pPr>
        <w:pStyle w:val="ListBullet"/>
        <w:spacing w:after="40"/>
      </w:pPr>
      <w:r>
        <w:t>The dashboard should allow separate short-term and long-term sub-ranks later, but Version 1 should output one overall priority rank.</w:t>
      </w:r>
    </w:p>
    <w:p>
      <w:pPr>
        <w:pStyle w:val="Heading1"/>
      </w:pPr>
      <w:r>
        <w:t>6. Scoring Architecture</w:t>
      </w:r>
    </w:p>
    <w:p>
      <w:r>
        <w:t>The system uses six primary scoring lenses. Each lens produces a 0-100 subscore. The sector-aware weighting engine converts those lens scores into a composite score. The final ranking sorts all stocks by confidence-adjusted composite score.</w:t>
      </w:r>
    </w:p>
    <w:p>
      <w:pPr>
        <w:jc w:val="center"/>
      </w:pPr>
      <w:r>
        <w:drawing>
          <wp:inline xmlns:a="http://schemas.openxmlformats.org/drawingml/2006/main" xmlns:pic="http://schemas.openxmlformats.org/drawingml/2006/picture">
            <wp:extent cx="6217920" cy="2758558"/>
            <wp:docPr id="2" name="Picture 2"/>
            <wp:cNvGraphicFramePr>
              <a:graphicFrameLocks noChangeAspect="1"/>
            </wp:cNvGraphicFramePr>
            <a:graphic>
              <a:graphicData uri="http://schemas.openxmlformats.org/drawingml/2006/picture">
                <pic:pic>
                  <pic:nvPicPr>
                    <pic:cNvPr id="0" name="rahul_score_architecture.png"/>
                    <pic:cNvPicPr/>
                  </pic:nvPicPr>
                  <pic:blipFill>
                    <a:blip r:embed="rId10"/>
                    <a:stretch>
                      <a:fillRect/>
                    </a:stretch>
                  </pic:blipFill>
                  <pic:spPr>
                    <a:xfrm>
                      <a:off x="0" y="0"/>
                      <a:ext cx="6217920" cy="2758558"/>
                    </a:xfrm>
                    <a:prstGeom prst="rect"/>
                  </pic:spPr>
                </pic:pic>
              </a:graphicData>
            </a:graphic>
          </wp:inline>
        </w:drawing>
      </w:r>
    </w:p>
    <w:p>
      <w:pPr>
        <w:jc w:val="center"/>
      </w:pPr>
      <w:r>
        <w:rPr>
          <w:i/>
          <w:sz w:val="17"/>
        </w:rPr>
        <w:t>Figure 2. Composite score architecture with six institutional research lenses.</w:t>
      </w:r>
    </w:p>
    <w:p>
      <w:pPr>
        <w:pStyle w:val="Heading2"/>
      </w:pPr>
      <w:r>
        <w:t>6.1 Default Growth-Stock Weighting</w:t>
      </w:r>
    </w:p>
    <w:tbl>
      <w:tblPr>
        <w:tblW w:type="auto" w:w="0"/>
        <w:jc w:val="center"/>
        <w:tblLook w:firstColumn="1" w:firstRow="1" w:lastColumn="0" w:lastRow="0" w:noHBand="0" w:noVBand="1" w:val="04A0"/>
      </w:tblPr>
      <w:tblGrid>
        <w:gridCol w:w="3456"/>
        <w:gridCol w:w="3456"/>
        <w:gridCol w:w="3456"/>
      </w:tblGrid>
      <w:tr>
        <w:tc>
          <w:tcPr>
            <w:tcW w:type="dxa" w:w="302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Factor lens</w:t>
            </w:r>
          </w:p>
        </w:tc>
        <w:tc>
          <w:tcPr>
            <w:tcW w:type="dxa" w:w="158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Default weight</w:t>
            </w:r>
          </w:p>
        </w:tc>
        <w:tc>
          <w:tcPr>
            <w:tcW w:type="dxa" w:w="518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Why it matters</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Fundamental Growth and Quality</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25%</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Growth stocks still need revenue growth, margin quality, cash flow, and balance-sheet strength.</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Management Credibility / MCS</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This project specifically studies whether management delivers on guidance; 20% is meaningful but not overpowering.</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Valuation and Mispricing</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Avoids overpaying for good stories; adjusts for sector and cycle.</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Technical and Momentum</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Useful for timing, trend confirmation, and relative strength.</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Options and Volatility</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10%</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Captures implied move, skew, positioning, and earnings-risk setup.</w:t>
            </w:r>
          </w:p>
        </w:tc>
      </w:tr>
      <w:tr>
        <w:tc>
          <w:tcPr>
            <w:tcW w:type="dxa" w:w="3024"/>
            <w:vAlign w:val="top"/>
            <w:tcBorders>
              <w:top w:val="single" w:sz="6" w:space="0" w:color="D9D9D9"/>
              <w:left w:val="single" w:sz="6" w:space="0" w:color="D9D9D9"/>
              <w:bottom w:val="single" w:sz="6" w:space="0" w:color="D9D9D9"/>
              <w:right w:val="single" w:sz="6" w:space="0" w:color="D9D9D9"/>
            </w:tcBorders>
          </w:tcPr>
          <w:p>
            <w:pPr>
              <w:spacing w:after="0"/>
            </w:pPr>
            <w:r>
              <w:rPr>
                <w:sz w:val="17"/>
              </w:rPr>
              <w:t>Catalyst, Risk, and Thesis Conviction</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5184"/>
            <w:vAlign w:val="top"/>
            <w:tcBorders>
              <w:top w:val="single" w:sz="6" w:space="0" w:color="D9D9D9"/>
              <w:left w:val="single" w:sz="6" w:space="0" w:color="D9D9D9"/>
              <w:bottom w:val="single" w:sz="6" w:space="0" w:color="D9D9D9"/>
              <w:right w:val="single" w:sz="6" w:space="0" w:color="D9D9D9"/>
            </w:tcBorders>
          </w:tcPr>
          <w:p>
            <w:pPr>
              <w:spacing w:after="0"/>
            </w:pPr>
            <w:r>
              <w:rPr>
                <w:sz w:val="17"/>
              </w:rPr>
              <w:t>Captures forward catalysts, moat, regulatory/macro risk, and overall thesis quality.</w:t>
            </w:r>
          </w:p>
        </w:tc>
      </w:tr>
    </w:tbl>
    <w:p/>
    <w:tbl>
      <w:tblPr>
        <w:tblW w:type="auto" w:w="0"/>
        <w:jc w:val="center"/>
        <w:tblLook w:firstColumn="1" w:firstRow="1" w:lastColumn="0" w:lastRow="0" w:noHBand="0" w:noVBand="1" w:val="04A0"/>
      </w:tblPr>
      <w:tblGrid>
        <w:gridCol w:w="10368"/>
      </w:tblGrid>
      <w:tr>
        <w:tc>
          <w:tcPr>
            <w:tcW w:type="dxa" w:w="10368"/>
            <w:shd w:fill="E2F0D9"/>
            <w:tcBorders>
              <w:top w:val="single" w:sz="12" w:space="0" w:color="548235"/>
              <w:left w:val="single" w:sz="12" w:space="0" w:color="548235"/>
              <w:bottom w:val="single" w:sz="12" w:space="0" w:color="548235"/>
              <w:right w:val="single" w:sz="12" w:space="0" w:color="548235"/>
            </w:tcBorders>
          </w:tcPr>
          <w:p>
            <w:pPr>
              <w:spacing w:after="80"/>
            </w:pPr>
            <w:r>
              <w:rPr>
                <w:b/>
                <w:color w:val="548235"/>
                <w:sz w:val="21"/>
              </w:rPr>
              <w:t>Management credibility weight</w:t>
            </w:r>
          </w:p>
          <w:p>
            <w:pPr>
              <w:spacing w:after="0"/>
            </w:pPr>
            <w:r>
              <w:rPr>
                <w:sz w:val="19"/>
              </w:rPr>
              <w:t>A 20% MCS weight is appropriate for this project. It is not too aggressive because guidance credibility directly affects growth-stock valuation and earnings risk. It is not too conservative because MCS remains one part of a broader 6-lens model.</w:t>
            </w:r>
          </w:p>
        </w:tc>
      </w:tr>
    </w:tbl>
    <w:p>
      <w:pPr>
        <w:pStyle w:val="Heading1"/>
      </w:pPr>
      <w:r>
        <w:t>7. Sector-Aware Weighting Framework</w:t>
      </w:r>
    </w:p>
    <w:p>
      <w:r>
        <w:t>The system should first classify the company into a sector template, then apply the relevant weight profile. Claude Code should not treat a semiconductor stock, a social-media platform, a crypto exchange, and a bank the same way. The templates below are starting weights, not hard rules.</w:t>
      </w:r>
    </w:p>
    <w:tbl>
      <w:tblPr>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94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Sector template</w:t>
            </w:r>
          </w:p>
        </w:tc>
        <w:tc>
          <w:tcPr>
            <w:tcW w:type="dxa" w:w="151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Examples</w:t>
            </w:r>
          </w:p>
        </w:tc>
        <w:tc>
          <w:tcPr>
            <w:tcW w:type="dxa" w:w="7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Fund.</w:t>
            </w:r>
          </w:p>
        </w:tc>
        <w:tc>
          <w:tcPr>
            <w:tcW w:type="dxa" w:w="7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MCS</w:t>
            </w:r>
          </w:p>
        </w:tc>
        <w:tc>
          <w:tcPr>
            <w:tcW w:type="dxa" w:w="7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Val.</w:t>
            </w:r>
          </w:p>
        </w:tc>
        <w:tc>
          <w:tcPr>
            <w:tcW w:type="dxa" w:w="7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Tech.</w:t>
            </w:r>
          </w:p>
        </w:tc>
        <w:tc>
          <w:tcPr>
            <w:tcW w:type="dxa" w:w="7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Opt.</w:t>
            </w:r>
          </w:p>
        </w:tc>
        <w:tc>
          <w:tcPr>
            <w:tcW w:type="dxa" w:w="108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Catalyst/Risk</w:t>
            </w:r>
          </w:p>
        </w:tc>
        <w:tc>
          <w:tcPr>
            <w:tcW w:type="dxa" w:w="266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Special emphasis</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Software / platform AI</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META, MSFT, PLTR</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22</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12</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8</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18</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Margins, FCF, AI monetization, user/ad metrics, recurring revenue</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Semiconductors / AI infrastructure</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NVDA, AMD, MU</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10</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Data center demand, HBM/DRAM/NAND, gross margin, inventory, capex cycle</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EV / autonomy / robotics</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TSLA</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12</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18</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12</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18</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Delivery growth, margin, FSD/autonomy claims, production execution, brand risk</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Crypto / trading platforms</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COIN</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18</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12</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25</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Crypto cycle, regulatory risk, volume, custody, token exposure, catalyst timing</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Financials / fintech</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JPM, HOOD, SQ</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30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7</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18</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ROE, credit risk, deposits, net interest income, regulation, fee growth</w:t>
            </w:r>
          </w:p>
        </w:tc>
      </w:tr>
      <w:tr>
        <w:tc>
          <w:tcPr>
            <w:tcW w:type="dxa" w:w="1944"/>
            <w:vAlign w:val="top"/>
            <w:tcBorders>
              <w:top w:val="single" w:sz="6" w:space="0" w:color="D9D9D9"/>
              <w:left w:val="single" w:sz="6" w:space="0" w:color="D9D9D9"/>
              <w:bottom w:val="single" w:sz="6" w:space="0" w:color="D9D9D9"/>
              <w:right w:val="single" w:sz="6" w:space="0" w:color="D9D9D9"/>
            </w:tcBorders>
          </w:tcPr>
          <w:p>
            <w:pPr>
              <w:spacing w:after="0"/>
            </w:pPr>
            <w:r>
              <w:rPr>
                <w:sz w:val="17"/>
              </w:rPr>
              <w:t>General growth default</w:t>
            </w:r>
          </w:p>
        </w:tc>
        <w:tc>
          <w:tcPr>
            <w:tcW w:type="dxa" w:w="1512"/>
            <w:vAlign w:val="top"/>
            <w:tcBorders>
              <w:top w:val="single" w:sz="6" w:space="0" w:color="D9D9D9"/>
              <w:left w:val="single" w:sz="6" w:space="0" w:color="D9D9D9"/>
              <w:bottom w:val="single" w:sz="6" w:space="0" w:color="D9D9D9"/>
              <w:right w:val="single" w:sz="6" w:space="0" w:color="D9D9D9"/>
            </w:tcBorders>
          </w:tcPr>
          <w:p>
            <w:pPr>
              <w:spacing w:after="0"/>
            </w:pPr>
            <w:r>
              <w:rPr>
                <w:sz w:val="17"/>
              </w:rPr>
              <w:t>Fallback</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20</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720"/>
            <w:vAlign w:val="top"/>
            <w:tcBorders>
              <w:top w:val="single" w:sz="6" w:space="0" w:color="D9D9D9"/>
              <w:left w:val="single" w:sz="6" w:space="0" w:color="D9D9D9"/>
              <w:bottom w:val="single" w:sz="6" w:space="0" w:color="D9D9D9"/>
              <w:right w:val="single" w:sz="6" w:space="0" w:color="D9D9D9"/>
            </w:tcBorders>
          </w:tcPr>
          <w:p>
            <w:pPr>
              <w:spacing w:after="0"/>
            </w:pPr>
            <w:r>
              <w:rPr>
                <w:sz w:val="17"/>
              </w:rPr>
              <w:t>10</w:t>
            </w:r>
          </w:p>
        </w:tc>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15</w:t>
            </w:r>
          </w:p>
        </w:tc>
        <w:tc>
          <w:tcPr>
            <w:tcW w:type="dxa" w:w="2664"/>
            <w:vAlign w:val="top"/>
            <w:tcBorders>
              <w:top w:val="single" w:sz="6" w:space="0" w:color="D9D9D9"/>
              <w:left w:val="single" w:sz="6" w:space="0" w:color="D9D9D9"/>
              <w:bottom w:val="single" w:sz="6" w:space="0" w:color="D9D9D9"/>
              <w:right w:val="single" w:sz="6" w:space="0" w:color="D9D9D9"/>
            </w:tcBorders>
          </w:tcPr>
          <w:p>
            <w:pPr>
              <w:spacing w:after="0"/>
            </w:pPr>
            <w:r>
              <w:rPr>
                <w:sz w:val="17"/>
              </w:rPr>
              <w:t>Fallback</w:t>
            </w:r>
          </w:p>
        </w:tc>
      </w:tr>
    </w:tbl>
    <w:p/>
    <w:p>
      <w:pPr>
        <w:pStyle w:val="Heading2"/>
      </w:pPr>
      <w:r>
        <w:t>7.1 Dynamic Adjustment Rules</w:t>
      </w:r>
    </w:p>
    <w:p>
      <w:pPr>
        <w:pStyle w:val="ListBullet"/>
        <w:spacing w:after="40"/>
      </w:pPr>
      <w:r>
        <w:t>If options data is missing or options are illiquid, do not score options as zero. Redistribute the options weight to technicals and catalyst/risk, then reduce confidence.</w:t>
      </w:r>
    </w:p>
    <w:p>
      <w:pPr>
        <w:pStyle w:val="ListBullet"/>
        <w:spacing w:after="40"/>
      </w:pPr>
      <w:r>
        <w:t>If MCS has fewer than 5 closed claims, cap the MCS weight at 12-15% and redistribute the remainder to fundamentals and risk until enough claims exist.</w:t>
      </w:r>
    </w:p>
    <w:p>
      <w:pPr>
        <w:pStyle w:val="ListBullet"/>
        <w:spacing w:after="40"/>
      </w:pPr>
      <w:r>
        <w:t>If a company is highly cyclical, valuation should be interpreted cycle-aware. Do not punish a memory stock solely because P/E looks high at a trough.</w:t>
      </w:r>
    </w:p>
    <w:p>
      <w:pPr>
        <w:pStyle w:val="ListBullet"/>
        <w:spacing w:after="40"/>
      </w:pPr>
      <w:r>
        <w:t>If the stock is within 30 days of earnings, options and MCS may receive a temporary tactical boost because guidance credibility and implied volatility matter more.</w:t>
      </w:r>
    </w:p>
    <w:p>
      <w:pPr>
        <w:pStyle w:val="ListBullet"/>
        <w:spacing w:after="40"/>
      </w:pPr>
      <w:r>
        <w:t>If the stock is under regulatory or macro stress, catalyst/risk weight may increase by 3-7 percentage points.</w:t>
      </w:r>
    </w:p>
    <w:p>
      <w:pPr>
        <w:pStyle w:val="ListBullet"/>
        <w:spacing w:after="40"/>
      </w:pPr>
      <w:r>
        <w:t>If the company is profitable and mature, valuation and FCF quality should carry more weight than pure momentum.</w:t>
      </w:r>
    </w:p>
    <w:p>
      <w:pPr>
        <w:pStyle w:val="ListBullet"/>
        <w:spacing w:after="40"/>
      </w:pPr>
      <w:r>
        <w:t>If the company is early-stage or undergoing a major growth transition, catalyst/risk and management credibility may carry more weight.</w:t>
      </w:r>
    </w:p>
    <w:p>
      <w:pPr>
        <w:pStyle w:val="Heading1"/>
      </w:pPr>
      <w:r>
        <w:t>8. Factor Definitions and Rubrics</w:t>
      </w:r>
    </w:p>
    <w:p>
      <w:pPr>
        <w:pStyle w:val="Heading2"/>
      </w:pPr>
      <w:r>
        <w:t>8.1 Fundamental Growth and Quality Score</w:t>
      </w:r>
    </w:p>
    <w:tbl>
      <w:tblPr>
        <w:tblW w:type="auto" w:w="0"/>
        <w:jc w:val="center"/>
        <w:tblLook w:firstColumn="1" w:firstRow="1" w:lastColumn="0" w:lastRow="0" w:noHBand="0" w:noVBand="1" w:val="04A0"/>
      </w:tblPr>
      <w:tblGrid>
        <w:gridCol w:w="3456"/>
        <w:gridCol w:w="3456"/>
        <w:gridCol w:w="3456"/>
      </w:tblGrid>
      <w:tr>
        <w:tc>
          <w:tcPr>
            <w:tcW w:type="dxa" w:w="216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Subfactor</w:t>
            </w:r>
          </w:p>
        </w:tc>
        <w:tc>
          <w:tcPr>
            <w:tcW w:type="dxa" w:w="446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Score drivers</w:t>
            </w:r>
          </w:p>
        </w:tc>
        <w:tc>
          <w:tcPr>
            <w:tcW w:type="dxa" w:w="43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Examples of high score</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Revenue growth</w:t>
            </w:r>
          </w:p>
        </w:tc>
        <w:tc>
          <w:tcPr>
            <w:tcW w:type="dxa" w:w="4464"/>
            <w:vAlign w:val="top"/>
            <w:tcBorders>
              <w:top w:val="single" w:sz="6" w:space="0" w:color="D9D9D9"/>
              <w:left w:val="single" w:sz="6" w:space="0" w:color="D9D9D9"/>
              <w:bottom w:val="single" w:sz="6" w:space="0" w:color="D9D9D9"/>
              <w:right w:val="single" w:sz="6" w:space="0" w:color="D9D9D9"/>
            </w:tcBorders>
          </w:tcPr>
          <w:p>
            <w:pPr>
              <w:spacing w:after="0"/>
            </w:pPr>
            <w:r>
              <w:rPr>
                <w:sz w:val="17"/>
              </w:rPr>
              <w:t>YoY growth, QoQ growth, acceleration, sustainability</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High growth with improving trend and strong demand indicators</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Margin quality</w:t>
            </w:r>
          </w:p>
        </w:tc>
        <w:tc>
          <w:tcPr>
            <w:tcW w:type="dxa" w:w="4464"/>
            <w:vAlign w:val="top"/>
            <w:tcBorders>
              <w:top w:val="single" w:sz="6" w:space="0" w:color="D9D9D9"/>
              <w:left w:val="single" w:sz="6" w:space="0" w:color="D9D9D9"/>
              <w:bottom w:val="single" w:sz="6" w:space="0" w:color="D9D9D9"/>
              <w:right w:val="single" w:sz="6" w:space="0" w:color="D9D9D9"/>
            </w:tcBorders>
          </w:tcPr>
          <w:p>
            <w:pPr>
              <w:spacing w:after="0"/>
            </w:pPr>
            <w:r>
              <w:rPr>
                <w:sz w:val="17"/>
              </w:rPr>
              <w:t>Gross margin, operating margin, net margin, margin expansion</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Margins expanding while growth remains strong</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Cash flow</w:t>
            </w:r>
          </w:p>
        </w:tc>
        <w:tc>
          <w:tcPr>
            <w:tcW w:type="dxa" w:w="4464"/>
            <w:vAlign w:val="top"/>
            <w:tcBorders>
              <w:top w:val="single" w:sz="6" w:space="0" w:color="D9D9D9"/>
              <w:left w:val="single" w:sz="6" w:space="0" w:color="D9D9D9"/>
              <w:bottom w:val="single" w:sz="6" w:space="0" w:color="D9D9D9"/>
              <w:right w:val="single" w:sz="6" w:space="0" w:color="D9D9D9"/>
            </w:tcBorders>
          </w:tcPr>
          <w:p>
            <w:pPr>
              <w:spacing w:after="0"/>
            </w:pPr>
            <w:r>
              <w:rPr>
                <w:sz w:val="17"/>
              </w:rPr>
              <w:t>Operating cash flow, free cash flow, FCF margin</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Positive and growing FCF, not just accounting earnings</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Balance sheet</w:t>
            </w:r>
          </w:p>
        </w:tc>
        <w:tc>
          <w:tcPr>
            <w:tcW w:type="dxa" w:w="4464"/>
            <w:vAlign w:val="top"/>
            <w:tcBorders>
              <w:top w:val="single" w:sz="6" w:space="0" w:color="D9D9D9"/>
              <w:left w:val="single" w:sz="6" w:space="0" w:color="D9D9D9"/>
              <w:bottom w:val="single" w:sz="6" w:space="0" w:color="D9D9D9"/>
              <w:right w:val="single" w:sz="6" w:space="0" w:color="D9D9D9"/>
            </w:tcBorders>
          </w:tcPr>
          <w:p>
            <w:pPr>
              <w:spacing w:after="0"/>
            </w:pPr>
            <w:r>
              <w:rPr>
                <w:sz w:val="17"/>
              </w:rPr>
              <w:t>Cash, debt, liquidity, current ratio</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Strong cash position and manageable leverage</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Sector KPIs</w:t>
            </w:r>
          </w:p>
        </w:tc>
        <w:tc>
          <w:tcPr>
            <w:tcW w:type="dxa" w:w="4464"/>
            <w:vAlign w:val="top"/>
            <w:tcBorders>
              <w:top w:val="single" w:sz="6" w:space="0" w:color="D9D9D9"/>
              <w:left w:val="single" w:sz="6" w:space="0" w:color="D9D9D9"/>
              <w:bottom w:val="single" w:sz="6" w:space="0" w:color="D9D9D9"/>
              <w:right w:val="single" w:sz="6" w:space="0" w:color="D9D9D9"/>
            </w:tcBorders>
          </w:tcPr>
          <w:p>
            <w:pPr>
              <w:spacing w:after="0"/>
            </w:pPr>
            <w:r>
              <w:rPr>
                <w:sz w:val="17"/>
              </w:rPr>
              <w:t>Metrics specific to the industry</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HBM demand for MU/NVDA/AMD; ad pricing for META; transactions for COIN</w:t>
            </w:r>
          </w:p>
        </w:tc>
      </w:tr>
    </w:tbl>
    <w:p/>
    <w:p>
      <w:r>
        <w:br w:type="page"/>
      </w:r>
    </w:p>
    <w:p>
      <w:pPr>
        <w:pStyle w:val="Heading2"/>
      </w:pPr>
      <w:r>
        <w:t>8.2 Management Credibility / MCS Score</w:t>
      </w:r>
    </w:p>
    <w:p>
      <w:r>
        <w:t>The MCS score should evaluate whether management delivered on forward-looking claims. This is the core differentiator of Rahul's research project.</w:t>
      </w:r>
    </w:p>
    <w:tbl>
      <w:tblPr>
        <w:tblW w:type="auto" w:w="0"/>
        <w:jc w:val="center"/>
        <w:tblLook w:firstColumn="1" w:firstRow="1" w:lastColumn="0" w:lastRow="0" w:noHBand="0" w:noVBand="1" w:val="04A0"/>
      </w:tblPr>
      <w:tblGrid>
        <w:gridCol w:w="3456"/>
        <w:gridCol w:w="3456"/>
        <w:gridCol w:w="3456"/>
      </w:tblGrid>
      <w:tr>
        <w:tc>
          <w:tcPr>
            <w:tcW w:type="dxa" w:w="25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MCS component</w:t>
            </w:r>
          </w:p>
        </w:tc>
        <w:tc>
          <w:tcPr>
            <w:tcW w:type="dxa" w:w="403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Description</w:t>
            </w:r>
          </w:p>
        </w:tc>
        <w:tc>
          <w:tcPr>
            <w:tcW w:type="dxa" w:w="396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Scoring logic</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Revenue guide accuracy</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Guided revenue vs actual reported revenue.</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High if actual lands in range or beats the midpoint/high end.</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Margin/EPS guide accuracy</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Gross margin, operating margin, EPS guide vs actual.</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High if management delivers or explains deviation well.</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Strategic delivery</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Product launches, AI/HBM/data center milestones, capex execution, customer adoption.</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Delivered, on track, partial, missed, or pending.</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Specificity and measurability</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How precise the claim was.</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Specific numeric guidance carries more weight than vague optimism.</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Difficulty adjustment</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Whether the target was easy or hard relative to conditions.</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Hard targets delivered should receive more credit.</w:t>
            </w:r>
          </w:p>
        </w:tc>
      </w:tr>
      <w:tr>
        <w:tc>
          <w:tcPr>
            <w:tcW w:type="dxa" w:w="2520"/>
            <w:vAlign w:val="top"/>
            <w:tcBorders>
              <w:top w:val="single" w:sz="6" w:space="0" w:color="D9D9D9"/>
              <w:left w:val="single" w:sz="6" w:space="0" w:color="D9D9D9"/>
              <w:bottom w:val="single" w:sz="6" w:space="0" w:color="D9D9D9"/>
              <w:right w:val="single" w:sz="6" w:space="0" w:color="D9D9D9"/>
            </w:tcBorders>
          </w:tcPr>
          <w:p>
            <w:pPr>
              <w:spacing w:after="0"/>
            </w:pPr>
            <w:r>
              <w:rPr>
                <w:sz w:val="17"/>
              </w:rPr>
              <w:t>Pending claim handling</w:t>
            </w:r>
          </w:p>
        </w:tc>
        <w:tc>
          <w:tcPr>
            <w:tcW w:type="dxa" w:w="4032"/>
            <w:vAlign w:val="top"/>
            <w:tcBorders>
              <w:top w:val="single" w:sz="6" w:space="0" w:color="D9D9D9"/>
              <w:left w:val="single" w:sz="6" w:space="0" w:color="D9D9D9"/>
              <w:bottom w:val="single" w:sz="6" w:space="0" w:color="D9D9D9"/>
              <w:right w:val="single" w:sz="6" w:space="0" w:color="D9D9D9"/>
            </w:tcBorders>
          </w:tcPr>
          <w:p>
            <w:pPr>
              <w:spacing w:after="0"/>
            </w:pPr>
            <w:r>
              <w:rPr>
                <w:sz w:val="17"/>
              </w:rPr>
              <w:t>Claims not yet measurable.</w:t>
            </w:r>
          </w:p>
        </w:tc>
        <w:tc>
          <w:tcPr>
            <w:tcW w:type="dxa" w:w="3960"/>
            <w:vAlign w:val="top"/>
            <w:tcBorders>
              <w:top w:val="single" w:sz="6" w:space="0" w:color="D9D9D9"/>
              <w:left w:val="single" w:sz="6" w:space="0" w:color="D9D9D9"/>
              <w:bottom w:val="single" w:sz="6" w:space="0" w:color="D9D9D9"/>
              <w:right w:val="single" w:sz="6" w:space="0" w:color="D9D9D9"/>
            </w:tcBorders>
          </w:tcPr>
          <w:p>
            <w:pPr>
              <w:spacing w:after="0"/>
            </w:pPr>
            <w:r>
              <w:rPr>
                <w:sz w:val="17"/>
              </w:rPr>
              <w:t>Do not score as miss. Mark pending and exclude from closed-claim accuracy.</w:t>
            </w:r>
          </w:p>
        </w:tc>
      </w:tr>
    </w:tbl>
    <w:p/>
    <w:tbl>
      <w:tblPr>
        <w:tblW w:type="auto" w:w="0"/>
        <w:jc w:val="center"/>
        <w:tblLook w:firstColumn="1" w:firstRow="1" w:lastColumn="0" w:lastRow="0" w:noHBand="0" w:noVBand="1" w:val="04A0"/>
      </w:tblPr>
      <w:tblGrid>
        <w:gridCol w:w="10368"/>
      </w:tblGrid>
      <w:tr>
        <w:tc>
          <w:tcPr>
            <w:tcW w:type="dxa" w:w="10368"/>
            <w:shd w:fill="FFF2CC"/>
            <w:tcBorders>
              <w:top w:val="single" w:sz="12" w:space="0" w:color="C55A11"/>
              <w:left w:val="single" w:sz="12" w:space="0" w:color="C55A11"/>
              <w:bottom w:val="single" w:sz="12" w:space="0" w:color="C55A11"/>
              <w:right w:val="single" w:sz="12" w:space="0" w:color="C55A11"/>
            </w:tcBorders>
          </w:tcPr>
          <w:p>
            <w:pPr>
              <w:spacing w:after="80"/>
            </w:pPr>
            <w:r>
              <w:rPr>
                <w:b/>
                <w:color w:val="C55A11"/>
                <w:sz w:val="21"/>
              </w:rPr>
              <w:t>MCS rule</w:t>
            </w:r>
          </w:p>
          <w:p>
            <w:pPr>
              <w:spacing w:after="0"/>
            </w:pPr>
            <w:r>
              <w:rPr>
                <w:sz w:val="19"/>
              </w:rPr>
              <w:t>No evidence quote = no claim. Every scored management claim must include a source quote from the earnings call transcript or filing.</w:t>
            </w:r>
          </w:p>
        </w:tc>
      </w:tr>
    </w:tbl>
    <w:p>
      <w:pPr>
        <w:pStyle w:val="Heading2"/>
      </w:pPr>
      <w:r>
        <w:t>8.3 Valuation and Mispricing Score</w:t>
      </w:r>
    </w:p>
    <w:p>
      <w:pPr>
        <w:pStyle w:val="ListBullet"/>
        <w:spacing w:after="40"/>
      </w:pPr>
      <w:r>
        <w:t>Use relative valuation versus sector peers, not one universal multiple across all stocks.</w:t>
      </w:r>
    </w:p>
    <w:p>
      <w:pPr>
        <w:pStyle w:val="ListBullet"/>
        <w:spacing w:after="40"/>
      </w:pPr>
      <w:r>
        <w:t>Use forward P/E, EV/Sales, EV/EBITDA, P/S, P/B, and FCF yield where appropriate.</w:t>
      </w:r>
    </w:p>
    <w:p>
      <w:pPr>
        <w:pStyle w:val="ListBullet"/>
        <w:spacing w:after="40"/>
      </w:pPr>
      <w:r>
        <w:t>For cyclicals like MU, interpret valuation by cycle stage. A trough multiple can look optically expensive but still be attractive if earnings recovery is early.</w:t>
      </w:r>
    </w:p>
    <w:p>
      <w:pPr>
        <w:pStyle w:val="ListBullet"/>
        <w:spacing w:after="40"/>
      </w:pPr>
      <w:r>
        <w:t>For high-growth software, compare growth-adjusted valuation, revenue quality, and margin expansion potential.</w:t>
      </w:r>
    </w:p>
    <w:p>
      <w:pPr>
        <w:pStyle w:val="ListBullet"/>
        <w:spacing w:after="40"/>
      </w:pPr>
      <w:r>
        <w:t>For financials, focus on P/B, ROE, capital strength, credit quality, and rate sensitivity.</w:t>
      </w:r>
    </w:p>
    <w:p>
      <w:pPr>
        <w:pStyle w:val="Heading2"/>
      </w:pPr>
      <w:r>
        <w:t>8.4 Technical and Momentum Score</w:t>
      </w:r>
    </w:p>
    <w:p>
      <w:pPr>
        <w:pStyle w:val="ListBullet"/>
        <w:spacing w:after="40"/>
      </w:pPr>
      <w:r>
        <w:t>Measure price relative to 20-day, 50-day, 100-day, and 200-day moving averages.</w:t>
      </w:r>
    </w:p>
    <w:p>
      <w:pPr>
        <w:pStyle w:val="ListBullet"/>
        <w:spacing w:after="40"/>
      </w:pPr>
      <w:r>
        <w:t>Evaluate trend structure: uptrend, downtrend, base formation, breakout, breakdown, or consolidation.</w:t>
      </w:r>
    </w:p>
    <w:p>
      <w:pPr>
        <w:pStyle w:val="ListBullet"/>
        <w:spacing w:after="40"/>
      </w:pPr>
      <w:r>
        <w:t>Use RSI, MACD, ADX, relative strength versus sector ETF/index, volume trend, and support/resistance.</w:t>
      </w:r>
    </w:p>
    <w:p>
      <w:pPr>
        <w:pStyle w:val="ListBullet"/>
        <w:spacing w:after="40"/>
      </w:pPr>
      <w:r>
        <w:t>Technical score can disagree with fundamentals. If fundamentals are strong but technicals are broken, the dashboard should say: great company, poor timing.</w:t>
      </w:r>
    </w:p>
    <w:p>
      <w:pPr>
        <w:pStyle w:val="ListBullet"/>
        <w:spacing w:after="40"/>
      </w:pPr>
      <w:r>
        <w:t>For high-beta sectors such as crypto and semiconductors, technicals may carry more weight.</w:t>
      </w:r>
    </w:p>
    <w:p>
      <w:pPr>
        <w:pStyle w:val="Heading2"/>
      </w:pPr>
      <w:r>
        <w:t>8.5 Options and Volatility Score</w:t>
      </w:r>
    </w:p>
    <w:p>
      <w:pPr>
        <w:pStyle w:val="ListBullet"/>
        <w:spacing w:after="40"/>
      </w:pPr>
      <w:r>
        <w:t>Evaluate options liquidity, implied volatility rank/percentile, implied move, skew, put/call volume, open interest concentration, and gamma levels.</w:t>
      </w:r>
    </w:p>
    <w:p>
      <w:pPr>
        <w:pStyle w:val="ListBullet"/>
        <w:spacing w:after="40"/>
      </w:pPr>
      <w:r>
        <w:t>High score does not mean high IV is always good. Score should judge whether options market risk/reward is favorable for the thesis.</w:t>
      </w:r>
    </w:p>
    <w:p>
      <w:pPr>
        <w:pStyle w:val="ListBullet"/>
        <w:spacing w:after="40"/>
      </w:pPr>
      <w:r>
        <w:t>Before earnings, compare implied move against historical realized earnings move.</w:t>
      </w:r>
    </w:p>
    <w:p>
      <w:pPr>
        <w:pStyle w:val="ListBullet"/>
        <w:spacing w:after="40"/>
      </w:pPr>
      <w:r>
        <w:t>If options data is missing, show “data unavailable,” redistribute weights, and lower confidence instead of fabricating values.</w:t>
      </w:r>
    </w:p>
    <w:p>
      <w:pPr>
        <w:pStyle w:val="ListBullet"/>
        <w:spacing w:after="40"/>
      </w:pPr>
      <w:r>
        <w:t>Options score is especially useful for timing and risk-control, not just long-term ranking.</w:t>
      </w:r>
    </w:p>
    <w:p>
      <w:pPr>
        <w:pStyle w:val="Heading2"/>
      </w:pPr>
      <w:r>
        <w:t>8.6 Catalyst, Risk, and Thesis Conviction Score</w:t>
      </w:r>
    </w:p>
    <w:p>
      <w:pPr>
        <w:pStyle w:val="ListBullet"/>
        <w:spacing w:after="40"/>
      </w:pPr>
      <w:r>
        <w:t>Captures the consolidated analyst judgment across all dashboard tabs.</w:t>
      </w:r>
    </w:p>
    <w:p>
      <w:pPr>
        <w:pStyle w:val="ListBullet"/>
        <w:spacing w:after="40"/>
      </w:pPr>
      <w:r>
        <w:t>Positive catalysts: earnings acceleration, product cycle, AI monetization, estimate revisions, regulatory clarity, margin inflection, major customer ramp.</w:t>
      </w:r>
    </w:p>
    <w:p>
      <w:pPr>
        <w:pStyle w:val="ListBullet"/>
        <w:spacing w:after="40"/>
      </w:pPr>
      <w:r>
        <w:t>Risks: valuation excess, capex overhang, regulatory threat, macro sensitivity, cycle peak, management overpromising, weak technical structure.</w:t>
      </w:r>
    </w:p>
    <w:p>
      <w:pPr>
        <w:pStyle w:val="ListBullet"/>
        <w:spacing w:after="40"/>
      </w:pPr>
      <w:r>
        <w:t>Score should include bull case, bear case, what upgrades the thesis, and what downgrades the thesis.</w:t>
      </w:r>
    </w:p>
    <w:p>
      <w:pPr>
        <w:pStyle w:val="ListBullet"/>
        <w:spacing w:after="40"/>
      </w:pPr>
      <w:r>
        <w:t>This score prevents the system from becoming a mechanical formula with no thesis context.</w:t>
      </w:r>
    </w:p>
    <w:p>
      <w:pPr>
        <w:pStyle w:val="Heading1"/>
      </w:pPr>
      <w:r>
        <w:t>9. Ranking Output Requirements</w:t>
      </w:r>
    </w:p>
    <w:p>
      <w:r>
        <w:t>The output should be a portfolio-level table plus a per-ticker detail panel. The table should rank all analyzed tickers from 1 to N. For the current state, N = 9. If Rahul later analyzes 50 stocks, the same logic ranks 1 to 50.</w:t>
      </w:r>
    </w:p>
    <w:p>
      <w:pPr>
        <w:pStyle w:val="Heading2"/>
      </w:pPr>
      <w:r>
        <w:t>9.1 Required Priority Board Columns</w:t>
      </w:r>
    </w:p>
    <w:tbl>
      <w:tblPr>
        <w:tblW w:type="auto" w:w="0"/>
        <w:jc w:val="center"/>
        <w:tblLook w:firstColumn="1" w:firstRow="1" w:lastColumn="0" w:lastRow="0" w:noHBand="0" w:noVBand="1" w:val="04A0"/>
      </w:tblPr>
      <w:tblGrid>
        <w:gridCol w:w="5184"/>
        <w:gridCol w:w="5184"/>
      </w:tblGrid>
      <w:tr>
        <w:tc>
          <w:tcPr>
            <w:tcW w:type="dxa" w:w="216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Column</w:t>
            </w:r>
          </w:p>
        </w:tc>
        <w:tc>
          <w:tcPr>
            <w:tcW w:type="dxa" w:w="763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Definition</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Rank</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1 to N. Rank 1 is highest priority in the current basket.</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Ticker</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Company ticker.</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Company name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Full company name.</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Sector template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Software/platform AI, semiconductor, EV/autonomy, crypto, financial, etc.</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Composite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 weighted score. Higher is better.</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Confidence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High, Medium, or Low based on data completeness.</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Tier</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A+, A, B, C, D.</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Fundamental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MCS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 or converted from existing 0-1 MCS to 0-100.</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Valuation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Technical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Options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 or unavailable.</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Catalyst/Risk score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0-100.</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Investment stance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Bullish, watchlist, neutral, avoid, bearish, or options candidate.</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Why ranked here</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One-sentence explanation of top positive and top risk.</w:t>
            </w:r>
          </w:p>
        </w:tc>
      </w:tr>
      <w:tr>
        <w:tc>
          <w:tcPr>
            <w:tcW w:type="dxa" w:w="2160"/>
            <w:vAlign w:val="top"/>
            <w:tcBorders>
              <w:top w:val="single" w:sz="6" w:space="0" w:color="D9D9D9"/>
              <w:left w:val="single" w:sz="6" w:space="0" w:color="D9D9D9"/>
              <w:bottom w:val="single" w:sz="6" w:space="0" w:color="D9D9D9"/>
              <w:right w:val="single" w:sz="6" w:space="0" w:color="D9D9D9"/>
            </w:tcBorders>
          </w:tcPr>
          <w:p>
            <w:pPr>
              <w:spacing w:after="0"/>
            </w:pPr>
            <w:r>
              <w:rPr>
                <w:sz w:val="17"/>
              </w:rPr>
              <w:t>Next action</w:t>
            </w:r>
          </w:p>
        </w:tc>
        <w:tc>
          <w:tcPr>
            <w:tcW w:type="dxa" w:w="7632"/>
            <w:vAlign w:val="top"/>
            <w:tcBorders>
              <w:top w:val="single" w:sz="6" w:space="0" w:color="D9D9D9"/>
              <w:left w:val="single" w:sz="6" w:space="0" w:color="D9D9D9"/>
              <w:bottom w:val="single" w:sz="6" w:space="0" w:color="D9D9D9"/>
              <w:right w:val="single" w:sz="6" w:space="0" w:color="D9D9D9"/>
            </w:tcBorders>
          </w:tcPr>
          <w:p>
            <w:pPr>
              <w:spacing w:after="0"/>
            </w:pPr>
            <w:r>
              <w:rPr>
                <w:sz w:val="17"/>
              </w:rPr>
              <w:t>Buy-list review, wait for pullback, earnings watch, data missing, or deeper research.</w:t>
            </w:r>
          </w:p>
        </w:tc>
      </w:tr>
    </w:tbl>
    <w:p/>
    <w:p>
      <w:r>
        <w:br w:type="page"/>
      </w:r>
    </w:p>
    <w:p>
      <w:pPr>
        <w:pStyle w:val="Heading2"/>
      </w:pPr>
      <w:r>
        <w:t>9.2 Tiering System</w:t>
      </w:r>
    </w:p>
    <w:tbl>
      <w:tblPr>
        <w:tblW w:type="auto" w:w="0"/>
        <w:jc w:val="center"/>
        <w:tblLook w:firstColumn="1" w:firstRow="1" w:lastColumn="0" w:lastRow="0" w:noHBand="0" w:noVBand="1" w:val="04A0"/>
      </w:tblPr>
      <w:tblGrid>
        <w:gridCol w:w="2592"/>
        <w:gridCol w:w="2592"/>
        <w:gridCol w:w="2592"/>
        <w:gridCol w:w="2592"/>
      </w:tblGrid>
      <w:tr>
        <w:tc>
          <w:tcPr>
            <w:tcW w:type="dxa" w:w="108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Tier</w:t>
            </w:r>
          </w:p>
        </w:tc>
        <w:tc>
          <w:tcPr>
            <w:tcW w:type="dxa" w:w="158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Score range</w:t>
            </w:r>
          </w:p>
        </w:tc>
        <w:tc>
          <w:tcPr>
            <w:tcW w:type="dxa" w:w="475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Meaning</w:t>
            </w:r>
          </w:p>
        </w:tc>
        <w:tc>
          <w:tcPr>
            <w:tcW w:type="dxa" w:w="288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Action</w:t>
            </w:r>
          </w:p>
        </w:tc>
      </w:tr>
      <w:tr>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A+</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85-100</w:t>
            </w:r>
          </w:p>
        </w:tc>
        <w:tc>
          <w:tcPr>
            <w:tcW w:type="dxa" w:w="4752"/>
            <w:vAlign w:val="top"/>
            <w:tcBorders>
              <w:top w:val="single" w:sz="6" w:space="0" w:color="D9D9D9"/>
              <w:left w:val="single" w:sz="6" w:space="0" w:color="D9D9D9"/>
              <w:bottom w:val="single" w:sz="6" w:space="0" w:color="D9D9D9"/>
              <w:right w:val="single" w:sz="6" w:space="0" w:color="D9D9D9"/>
            </w:tcBorders>
          </w:tcPr>
          <w:p>
            <w:pPr>
              <w:spacing w:after="0"/>
            </w:pPr>
            <w:r>
              <w:rPr>
                <w:sz w:val="17"/>
              </w:rPr>
              <w:t>Highest-priority institutional research candidate.</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Immediate senior review.</w:t>
            </w:r>
          </w:p>
        </w:tc>
      </w:tr>
      <w:tr>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A</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75-84</w:t>
            </w:r>
          </w:p>
        </w:tc>
        <w:tc>
          <w:tcPr>
            <w:tcW w:type="dxa" w:w="4752"/>
            <w:vAlign w:val="top"/>
            <w:tcBorders>
              <w:top w:val="single" w:sz="6" w:space="0" w:color="D9D9D9"/>
              <w:left w:val="single" w:sz="6" w:space="0" w:color="D9D9D9"/>
              <w:bottom w:val="single" w:sz="6" w:space="0" w:color="D9D9D9"/>
              <w:right w:val="single" w:sz="6" w:space="0" w:color="D9D9D9"/>
            </w:tcBorders>
          </w:tcPr>
          <w:p>
            <w:pPr>
              <w:spacing w:after="0"/>
            </w:pPr>
            <w:r>
              <w:rPr>
                <w:sz w:val="17"/>
              </w:rPr>
              <w:t>Strong candidate with good evidence.</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Add to active watchlist.</w:t>
            </w:r>
          </w:p>
        </w:tc>
      </w:tr>
      <w:tr>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B</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65-74</w:t>
            </w:r>
          </w:p>
        </w:tc>
        <w:tc>
          <w:tcPr>
            <w:tcW w:type="dxa" w:w="4752"/>
            <w:vAlign w:val="top"/>
            <w:tcBorders>
              <w:top w:val="single" w:sz="6" w:space="0" w:color="D9D9D9"/>
              <w:left w:val="single" w:sz="6" w:space="0" w:color="D9D9D9"/>
              <w:bottom w:val="single" w:sz="6" w:space="0" w:color="D9D9D9"/>
              <w:right w:val="single" w:sz="6" w:space="0" w:color="D9D9D9"/>
            </w:tcBorders>
          </w:tcPr>
          <w:p>
            <w:pPr>
              <w:spacing w:after="0"/>
            </w:pPr>
            <w:r>
              <w:rPr>
                <w:sz w:val="17"/>
              </w:rPr>
              <w:t>Interesting but requires confirmation.</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Monitor catalysts and missing data.</w:t>
            </w:r>
          </w:p>
        </w:tc>
      </w:tr>
      <w:tr>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C</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50-64</w:t>
            </w:r>
          </w:p>
        </w:tc>
        <w:tc>
          <w:tcPr>
            <w:tcW w:type="dxa" w:w="4752"/>
            <w:vAlign w:val="top"/>
            <w:tcBorders>
              <w:top w:val="single" w:sz="6" w:space="0" w:color="D9D9D9"/>
              <w:left w:val="single" w:sz="6" w:space="0" w:color="D9D9D9"/>
              <w:bottom w:val="single" w:sz="6" w:space="0" w:color="D9D9D9"/>
              <w:right w:val="single" w:sz="6" w:space="0" w:color="D9D9D9"/>
            </w:tcBorders>
          </w:tcPr>
          <w:p>
            <w:pPr>
              <w:spacing w:after="0"/>
            </w:pPr>
            <w:r>
              <w:rPr>
                <w:sz w:val="17"/>
              </w:rPr>
              <w:t>Mixed or uncertain setup.</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Deprioritize unless catalyst emerges.</w:t>
            </w:r>
          </w:p>
        </w:tc>
      </w:tr>
      <w:tr>
        <w:tc>
          <w:tcPr>
            <w:tcW w:type="dxa" w:w="1080"/>
            <w:vAlign w:val="top"/>
            <w:tcBorders>
              <w:top w:val="single" w:sz="6" w:space="0" w:color="D9D9D9"/>
              <w:left w:val="single" w:sz="6" w:space="0" w:color="D9D9D9"/>
              <w:bottom w:val="single" w:sz="6" w:space="0" w:color="D9D9D9"/>
              <w:right w:val="single" w:sz="6" w:space="0" w:color="D9D9D9"/>
            </w:tcBorders>
          </w:tcPr>
          <w:p>
            <w:pPr>
              <w:spacing w:after="0"/>
            </w:pPr>
            <w:r>
              <w:rPr>
                <w:sz w:val="17"/>
              </w:rPr>
              <w:t>D</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&lt;50</w:t>
            </w:r>
          </w:p>
        </w:tc>
        <w:tc>
          <w:tcPr>
            <w:tcW w:type="dxa" w:w="4752"/>
            <w:vAlign w:val="top"/>
            <w:tcBorders>
              <w:top w:val="single" w:sz="6" w:space="0" w:color="D9D9D9"/>
              <w:left w:val="single" w:sz="6" w:space="0" w:color="D9D9D9"/>
              <w:bottom w:val="single" w:sz="6" w:space="0" w:color="D9D9D9"/>
              <w:right w:val="single" w:sz="6" w:space="0" w:color="D9D9D9"/>
            </w:tcBorders>
          </w:tcPr>
          <w:p>
            <w:pPr>
              <w:spacing w:after="0"/>
            </w:pPr>
            <w:r>
              <w:rPr>
                <w:sz w:val="17"/>
              </w:rPr>
              <w:t>Weak risk/reward or poor data quality.</w:t>
            </w:r>
          </w:p>
        </w:tc>
        <w:tc>
          <w:tcPr>
            <w:tcW w:type="dxa" w:w="2880"/>
            <w:vAlign w:val="top"/>
            <w:tcBorders>
              <w:top w:val="single" w:sz="6" w:space="0" w:color="D9D9D9"/>
              <w:left w:val="single" w:sz="6" w:space="0" w:color="D9D9D9"/>
              <w:bottom w:val="single" w:sz="6" w:space="0" w:color="D9D9D9"/>
              <w:right w:val="single" w:sz="6" w:space="0" w:color="D9D9D9"/>
            </w:tcBorders>
          </w:tcPr>
          <w:p>
            <w:pPr>
              <w:spacing w:after="0"/>
            </w:pPr>
            <w:r>
              <w:rPr>
                <w:sz w:val="17"/>
              </w:rPr>
              <w:t>Avoid or revisit later.</w:t>
            </w:r>
          </w:p>
        </w:tc>
      </w:tr>
    </w:tbl>
    <w:p/>
    <w:p>
      <w:pPr>
        <w:pStyle w:val="Heading2"/>
      </w:pPr>
      <w:r>
        <w:t>9.3 Formula</w:t>
      </w:r>
    </w:p>
    <w:tbl>
      <w:tblPr>
        <w:tblW w:type="auto" w:w="0"/>
        <w:jc w:val="center"/>
        <w:tblLook w:firstColumn="1" w:firstRow="1" w:lastColumn="0" w:lastRow="0" w:noHBand="0" w:noVBand="1" w:val="04A0"/>
      </w:tblPr>
      <w:tblGrid>
        <w:gridCol w:w="10368"/>
      </w:tblGrid>
      <w:tr>
        <w:tc>
          <w:tcPr>
            <w:tcW w:type="dxa" w:w="10368"/>
            <w:shd w:fill="EAF2F8"/>
            <w:tcBorders>
              <w:top w:val="single" w:sz="12" w:space="0" w:color="1F4E79"/>
              <w:left w:val="single" w:sz="12" w:space="0" w:color="1F4E79"/>
              <w:bottom w:val="single" w:sz="12" w:space="0" w:color="1F4E79"/>
              <w:right w:val="single" w:sz="12" w:space="0" w:color="1F4E79"/>
            </w:tcBorders>
          </w:tcPr>
          <w:p>
            <w:pPr>
              <w:spacing w:after="80"/>
            </w:pPr>
            <w:r>
              <w:rPr>
                <w:b/>
                <w:color w:val="1F4E79"/>
                <w:sz w:val="21"/>
              </w:rPr>
              <w:t>Base formula</w:t>
            </w:r>
          </w:p>
          <w:p>
            <w:pPr>
              <w:spacing w:after="0"/>
            </w:pPr>
            <w:r>
              <w:rPr>
                <w:sz w:val="19"/>
              </w:rPr>
              <w:t>Composite Score = Sum(Factor Score x Sector-Adjusted Weight). Confidence-adjusted score = Composite Score x Confidence Factor.</w:t>
            </w:r>
          </w:p>
        </w:tc>
      </w:tr>
    </w:tbl>
    <w:tbl>
      <w:tblPr>
        <w:tblW w:type="auto" w:w="0"/>
        <w:jc w:val="center"/>
        <w:tblLook w:firstColumn="1" w:firstRow="1" w:lastColumn="0" w:lastRow="0" w:noHBand="0" w:noVBand="1" w:val="04A0"/>
      </w:tblPr>
      <w:tblGrid>
        <w:gridCol w:w="3456"/>
        <w:gridCol w:w="3456"/>
        <w:gridCol w:w="3456"/>
      </w:tblGrid>
      <w:tr>
        <w:tc>
          <w:tcPr>
            <w:tcW w:type="dxa" w:w="201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Confidence level</w:t>
            </w:r>
          </w:p>
        </w:tc>
        <w:tc>
          <w:tcPr>
            <w:tcW w:type="dxa" w:w="201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Confidence factor</w:t>
            </w:r>
          </w:p>
        </w:tc>
        <w:tc>
          <w:tcPr>
            <w:tcW w:type="dxa" w:w="590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Typical condition</w:t>
            </w:r>
          </w:p>
        </w:tc>
      </w:tr>
      <w:tr>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High</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1.00</w:t>
            </w:r>
          </w:p>
        </w:tc>
        <w:tc>
          <w:tcPr>
            <w:tcW w:type="dxa" w:w="5904"/>
            <w:vAlign w:val="top"/>
            <w:tcBorders>
              <w:top w:val="single" w:sz="6" w:space="0" w:color="D9D9D9"/>
              <w:left w:val="single" w:sz="6" w:space="0" w:color="D9D9D9"/>
              <w:bottom w:val="single" w:sz="6" w:space="0" w:color="D9D9D9"/>
              <w:right w:val="single" w:sz="6" w:space="0" w:color="D9D9D9"/>
            </w:tcBorders>
          </w:tcPr>
          <w:p>
            <w:pPr>
              <w:spacing w:after="0"/>
            </w:pPr>
            <w:r>
              <w:rPr>
                <w:sz w:val="17"/>
              </w:rPr>
              <w:t>All major sections complete and data verified.</w:t>
            </w:r>
          </w:p>
        </w:tc>
      </w:tr>
      <w:tr>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Medium</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0.90-0.95</w:t>
            </w:r>
          </w:p>
        </w:tc>
        <w:tc>
          <w:tcPr>
            <w:tcW w:type="dxa" w:w="5904"/>
            <w:vAlign w:val="top"/>
            <w:tcBorders>
              <w:top w:val="single" w:sz="6" w:space="0" w:color="D9D9D9"/>
              <w:left w:val="single" w:sz="6" w:space="0" w:color="D9D9D9"/>
              <w:bottom w:val="single" w:sz="6" w:space="0" w:color="D9D9D9"/>
              <w:right w:val="single" w:sz="6" w:space="0" w:color="D9D9D9"/>
            </w:tcBorders>
          </w:tcPr>
          <w:p>
            <w:pPr>
              <w:spacing w:after="0"/>
            </w:pPr>
            <w:r>
              <w:rPr>
                <w:sz w:val="17"/>
              </w:rPr>
              <w:t>One section missing or lower-quality but core analysis available.</w:t>
            </w:r>
          </w:p>
        </w:tc>
      </w:tr>
      <w:tr>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Low</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0.75-0.85</w:t>
            </w:r>
          </w:p>
        </w:tc>
        <w:tc>
          <w:tcPr>
            <w:tcW w:type="dxa" w:w="5904"/>
            <w:vAlign w:val="top"/>
            <w:tcBorders>
              <w:top w:val="single" w:sz="6" w:space="0" w:color="D9D9D9"/>
              <w:left w:val="single" w:sz="6" w:space="0" w:color="D9D9D9"/>
              <w:bottom w:val="single" w:sz="6" w:space="0" w:color="D9D9D9"/>
              <w:right w:val="single" w:sz="6" w:space="0" w:color="D9D9D9"/>
            </w:tcBorders>
          </w:tcPr>
          <w:p>
            <w:pPr>
              <w:spacing w:after="0"/>
            </w:pPr>
            <w:r>
              <w:rPr>
                <w:sz w:val="17"/>
              </w:rPr>
              <w:t>Multiple missing sections or insufficient MCS/valuation/options data.</w:t>
            </w:r>
          </w:p>
        </w:tc>
      </w:tr>
    </w:tbl>
    <w:p/>
    <w:p>
      <w:pPr>
        <w:pStyle w:val="Heading1"/>
      </w:pPr>
      <w:r>
        <w:t>10. Dashboard Requirements</w:t>
      </w:r>
    </w:p>
    <w:p>
      <w:pPr>
        <w:pStyle w:val="Heading2"/>
      </w:pPr>
      <w:r>
        <w:t>10.1 New Page: Priority Ranking Board</w:t>
      </w:r>
    </w:p>
    <w:p>
      <w:pPr>
        <w:pStyle w:val="ListBullet"/>
        <w:spacing w:after="40"/>
      </w:pPr>
      <w:r>
        <w:t>Add a new top-level dashboard page called Priority Ranking, Research Priority Board, or Portfolio Ranking.</w:t>
      </w:r>
    </w:p>
    <w:p>
      <w:pPr>
        <w:pStyle w:val="ListBullet"/>
        <w:spacing w:after="40"/>
      </w:pPr>
      <w:r>
        <w:t>Display all currently analyzed stocks sorted by rank ascending.</w:t>
      </w:r>
    </w:p>
    <w:p>
      <w:pPr>
        <w:pStyle w:val="ListBullet"/>
        <w:spacing w:after="40"/>
      </w:pPr>
      <w:r>
        <w:t>Include a summary card showing total stocks analyzed, high-confidence stocks, average composite score, and number of A/A+ candidates.</w:t>
      </w:r>
    </w:p>
    <w:p>
      <w:pPr>
        <w:pStyle w:val="ListBullet"/>
        <w:spacing w:after="40"/>
      </w:pPr>
      <w:r>
        <w:t>Allow filtering by sector template, tier, confidence, and stance.</w:t>
      </w:r>
    </w:p>
    <w:p>
      <w:pPr>
        <w:pStyle w:val="ListBullet"/>
        <w:spacing w:after="40"/>
      </w:pPr>
      <w:r>
        <w:t>Allow sorting by rank, composite score, MCS, fundamentals, technicals, valuation, options, or catalyst score.</w:t>
      </w:r>
    </w:p>
    <w:p>
      <w:pPr>
        <w:pStyle w:val="ListBullet"/>
        <w:spacing w:after="40"/>
      </w:pPr>
      <w:r>
        <w:t>Each ticker row should link to the ticker's full dashboard.</w:t>
      </w:r>
    </w:p>
    <w:p>
      <w:pPr>
        <w:pStyle w:val="Heading2"/>
      </w:pPr>
      <w:r>
        <w:t>10.2 Per-Ticker Detail Panel</w:t>
      </w:r>
    </w:p>
    <w:p>
      <w:pPr>
        <w:pStyle w:val="ListBullet"/>
        <w:spacing w:after="40"/>
      </w:pPr>
      <w:r>
        <w:t>Show composite score and rank at the top of each ticker page.</w:t>
      </w:r>
    </w:p>
    <w:p>
      <w:pPr>
        <w:pStyle w:val="ListBullet"/>
        <w:spacing w:after="40"/>
      </w:pPr>
      <w:r>
        <w:t>Show factor contribution chart/table: which factors helped and hurt the score.</w:t>
      </w:r>
    </w:p>
    <w:p>
      <w:pPr>
        <w:pStyle w:val="ListBullet"/>
        <w:spacing w:after="40"/>
      </w:pPr>
      <w:r>
        <w:t>Show the selected sector template and final weights used.</w:t>
      </w:r>
    </w:p>
    <w:p>
      <w:pPr>
        <w:pStyle w:val="ListBullet"/>
        <w:spacing w:after="40"/>
      </w:pPr>
      <w:r>
        <w:t>Show top 3 positive drivers and top 3 risks.</w:t>
      </w:r>
    </w:p>
    <w:p>
      <w:pPr>
        <w:pStyle w:val="ListBullet"/>
        <w:spacing w:after="40"/>
      </w:pPr>
      <w:r>
        <w:t>Show data completeness checklist: fundamentals, valuation, technicals, options, MCS, transcripts, filings.</w:t>
      </w:r>
    </w:p>
    <w:p>
      <w:pPr>
        <w:pStyle w:val="ListBullet"/>
        <w:spacing w:after="40"/>
      </w:pPr>
      <w:r>
        <w:t>Show recommended next research action.</w:t>
      </w:r>
    </w:p>
    <w:p>
      <w:pPr>
        <w:pStyle w:val="Heading2"/>
      </w:pPr>
      <w:r>
        <w:t>10.3 Review Safeguards</w:t>
      </w:r>
    </w:p>
    <w:p>
      <w:pPr>
        <w:pStyle w:val="ListBullet"/>
        <w:spacing w:after="40"/>
      </w:pPr>
      <w:r>
        <w:t>The system should clearly label the score as a research-priority score, not an automatic buy/sell recommendation.</w:t>
      </w:r>
    </w:p>
    <w:p>
      <w:pPr>
        <w:pStyle w:val="ListBullet"/>
        <w:spacing w:after="40"/>
      </w:pPr>
      <w:r>
        <w:t>If a ticker has incomplete data, the row should show a visible warning badge.</w:t>
      </w:r>
    </w:p>
    <w:p>
      <w:pPr>
        <w:pStyle w:val="ListBullet"/>
        <w:spacing w:after="40"/>
      </w:pPr>
      <w:r>
        <w:t>If sector classification is uncertain, default to General Growth and flag “sector template needs review.”</w:t>
      </w:r>
    </w:p>
    <w:p>
      <w:pPr>
        <w:pStyle w:val="ListBullet"/>
        <w:spacing w:after="40"/>
      </w:pPr>
      <w:r>
        <w:t>If a score is driven by only one factor, warn that the ranking may be fragile.</w:t>
      </w:r>
    </w:p>
    <w:p>
      <w:pPr>
        <w:pStyle w:val="ListBullet"/>
        <w:spacing w:after="40"/>
      </w:pPr>
      <w:r>
        <w:t>If a company has poor MCS but strong technical momentum, the dashboard should explicitly say: momentum is strong but management credibility risk is high.</w:t>
      </w:r>
    </w:p>
    <w:p>
      <w:pPr>
        <w:pStyle w:val="Heading1"/>
      </w:pPr>
      <w:r>
        <w:t>11. Data Model and Schema</w:t>
      </w:r>
    </w:p>
    <w:p>
      <w:r>
        <w:t>Claude Code should create a structured ranking object for every ticker. The implementation should avoid hardcoding META, AMD, MU, or any one company. The ranking function should iterate through all tickers in the dashboard universe.</w:t>
      </w:r>
    </w:p>
    <w:p>
      <w:pPr>
        <w:pStyle w:val="Heading2"/>
      </w:pPr>
      <w:r>
        <w:t>11.1 Suggested JavaScript Data Object</w:t>
      </w:r>
    </w:p>
    <w:p>
      <w:r>
        <w:rPr>
          <w:rFonts w:ascii="Courier New" w:hAnsi="Courier New"/>
          <w:sz w:val="15"/>
        </w:rPr>
        <w:t>ranking: {</w:t>
        <w:br/>
        <w:t xml:space="preserve">  ticker: "MU",</w:t>
        <w:br/>
        <w:t xml:space="preserve">  company_name: "Micron Technology",</w:t>
        <w:br/>
        <w:t xml:space="preserve">  sector_template: "Semiconductors / AI Infrastructure",</w:t>
        <w:br/>
        <w:t xml:space="preserve">  rank: 1,</w:t>
        <w:br/>
        <w:t xml:space="preserve">  composite_score: 84.2,</w:t>
        <w:br/>
        <w:t xml:space="preserve">  confidence_level: "High",</w:t>
        <w:br/>
        <w:t xml:space="preserve">  confidence_factor: 1.00,</w:t>
        <w:br/>
        <w:t xml:space="preserve">  tier: "A+",</w:t>
        <w:br/>
        <w:t xml:space="preserve">  weights_used: {</w:t>
        <w:br/>
        <w:t xml:space="preserve">    fundamentals: 25,</w:t>
        <w:br/>
        <w:t xml:space="preserve">    mcs: 20,</w:t>
        <w:br/>
        <w:t xml:space="preserve">    valuation: 15,</w:t>
        <w:br/>
        <w:t xml:space="preserve">    technical: 15,</w:t>
        <w:br/>
        <w:t xml:space="preserve">    options: 10,</w:t>
        <w:br/>
        <w:t xml:space="preserve">    catalyst_risk: 15</w:t>
        <w:br/>
        <w:t xml:space="preserve">  },</w:t>
        <w:br/>
        <w:t xml:space="preserve">  factor_scores: {</w:t>
        <w:br/>
        <w:t xml:space="preserve">    fundamentals: 86,</w:t>
        <w:br/>
        <w:t xml:space="preserve">    mcs: 82,</w:t>
        <w:br/>
        <w:t xml:space="preserve">    valuation: 74,</w:t>
        <w:br/>
        <w:t xml:space="preserve">    technical: 79,</w:t>
        <w:br/>
        <w:t xml:space="preserve">    options: 71,</w:t>
        <w:br/>
        <w:t xml:space="preserve">    catalyst_risk: 88</w:t>
        <w:br/>
        <w:t xml:space="preserve">  },</w:t>
        <w:br/>
        <w:t xml:space="preserve">  top_positive_drivers: ["AI/HBM demand", "gross margin recovery", "guide delivery"],</w:t>
        <w:br/>
        <w:t xml:space="preserve">  top_risks: ["memory-cycle volatility", "capex intensity", "pricing risk"],</w:t>
        <w:br/>
        <w:t xml:space="preserve">  next_action: "Senior review; monitor next earnings guide",</w:t>
        <w:br/>
        <w:t xml:space="preserve">  data_completeness: {</w:t>
        <w:br/>
        <w:t xml:space="preserve">    fundamentals: true,</w:t>
        <w:br/>
        <w:t xml:space="preserve">    technicals: true,</w:t>
        <w:br/>
        <w:t xml:space="preserve">    options: true,</w:t>
        <w:br/>
        <w:t xml:space="preserve">    valuation: true,</w:t>
        <w:br/>
        <w:t xml:space="preserve">    mcs: true,</w:t>
        <w:br/>
        <w:t xml:space="preserve">    transcripts: true,</w:t>
        <w:br/>
        <w:t xml:space="preserve">    filings: true</w:t>
        <w:br/>
        <w:t xml:space="preserve">  }</w:t>
        <w:br/>
        <w:t>}</w:t>
      </w:r>
    </w:p>
    <w:p>
      <w:pPr>
        <w:pStyle w:val="Heading2"/>
      </w:pPr>
      <w:r>
        <w:t>11.2 Required Ranking Functions</w:t>
      </w:r>
    </w:p>
    <w:tbl>
      <w:tblPr>
        <w:tblW w:type="auto" w:w="0"/>
        <w:jc w:val="center"/>
        <w:tblLook w:firstColumn="1" w:firstRow="1" w:lastColumn="0" w:lastRow="0" w:noHBand="0" w:noVBand="1" w:val="04A0"/>
      </w:tblPr>
      <w:tblGrid>
        <w:gridCol w:w="5184"/>
        <w:gridCol w:w="5184"/>
      </w:tblGrid>
      <w:tr>
        <w:tc>
          <w:tcPr>
            <w:tcW w:type="dxa" w:w="360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Function</w:t>
            </w:r>
          </w:p>
        </w:tc>
        <w:tc>
          <w:tcPr>
            <w:tcW w:type="dxa" w:w="633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Purpose</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classifySector(ticker, companyData)</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Assign sector template based on company, industry, and dashboard metadata.</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getWeightsForSector(sectorTemplate, dataCompleteness)</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Return sector-aware weights and adjust for missing data.</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computeFactorScores(tickerData)</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Calculate 0-100 scores for fundamentals, MCS, valuation, technicals, options, and catalyst/risk.</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computeCompositeScore(factorScores, weights)</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Apply the weighted formula.</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computeConfidence(dataCompleteness)</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Calculate confidence level/factor.</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rankUniverse(allTickers)</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Sort by confidence-adjusted composite score and assign ranks 1 to N.</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renderPriorityBoard(rankedTickers)</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Render the portfolio-level dashboard table.</w:t>
            </w:r>
          </w:p>
        </w:tc>
      </w:tr>
      <w:tr>
        <w:tc>
          <w:tcPr>
            <w:tcW w:type="dxa" w:w="3600"/>
            <w:vAlign w:val="top"/>
            <w:tcBorders>
              <w:top w:val="single" w:sz="6" w:space="0" w:color="D9D9D9"/>
              <w:left w:val="single" w:sz="6" w:space="0" w:color="D9D9D9"/>
              <w:bottom w:val="single" w:sz="6" w:space="0" w:color="D9D9D9"/>
              <w:right w:val="single" w:sz="6" w:space="0" w:color="D9D9D9"/>
            </w:tcBorders>
          </w:tcPr>
          <w:p>
            <w:pPr>
              <w:spacing w:after="0"/>
            </w:pPr>
            <w:r>
              <w:rPr>
                <w:sz w:val="17"/>
              </w:rPr>
              <w:t>renderTickerRankingPanel(ticker)</w:t>
            </w:r>
          </w:p>
        </w:tc>
        <w:tc>
          <w:tcPr>
            <w:tcW w:type="dxa" w:w="6336"/>
            <w:vAlign w:val="top"/>
            <w:tcBorders>
              <w:top w:val="single" w:sz="6" w:space="0" w:color="D9D9D9"/>
              <w:left w:val="single" w:sz="6" w:space="0" w:color="D9D9D9"/>
              <w:bottom w:val="single" w:sz="6" w:space="0" w:color="D9D9D9"/>
              <w:right w:val="single" w:sz="6" w:space="0" w:color="D9D9D9"/>
            </w:tcBorders>
          </w:tcPr>
          <w:p>
            <w:pPr>
              <w:spacing w:after="0"/>
            </w:pPr>
            <w:r>
              <w:rPr>
                <w:sz w:val="17"/>
              </w:rPr>
              <w:t>Render ranking summary inside ticker page.</w:t>
            </w:r>
          </w:p>
        </w:tc>
      </w:tr>
    </w:tbl>
    <w:p/>
    <w:p>
      <w:pPr>
        <w:pStyle w:val="Heading1"/>
      </w:pPr>
      <w:r>
        <w:t>12. Workflow and QA</w:t>
      </w:r>
    </w:p>
    <w:p>
      <w:pPr>
        <w:pStyle w:val="Heading2"/>
      </w:pPr>
      <w:r>
        <w:t>12.1 Ranking Workflow</w:t>
      </w:r>
    </w:p>
    <w:p>
      <w:pPr>
        <w:pStyle w:val="ListNumber"/>
        <w:spacing w:after="40"/>
      </w:pPr>
      <w:r>
        <w:t>Load all analyzed tickers from the dashboard DATA object.</w:t>
      </w:r>
    </w:p>
    <w:p>
      <w:pPr>
        <w:pStyle w:val="ListNumber"/>
        <w:spacing w:after="40"/>
      </w:pPr>
      <w:r>
        <w:t>Verify each ticker has at least a partial company dashboard.</w:t>
      </w:r>
    </w:p>
    <w:p>
      <w:pPr>
        <w:pStyle w:val="ListNumber"/>
        <w:spacing w:after="40"/>
      </w:pPr>
      <w:r>
        <w:t>Classify each ticker into a sector template.</w:t>
      </w:r>
    </w:p>
    <w:p>
      <w:pPr>
        <w:pStyle w:val="ListNumber"/>
        <w:spacing w:after="40"/>
      </w:pPr>
      <w:r>
        <w:t>Calculate or ingest six factor scores.</w:t>
      </w:r>
    </w:p>
    <w:p>
      <w:pPr>
        <w:pStyle w:val="ListNumber"/>
        <w:spacing w:after="40"/>
      </w:pPr>
      <w:r>
        <w:t>Select sector-aware weights and adjust for missing data.</w:t>
      </w:r>
    </w:p>
    <w:p>
      <w:pPr>
        <w:pStyle w:val="ListNumber"/>
        <w:spacing w:after="40"/>
      </w:pPr>
      <w:r>
        <w:t>Calculate composite score and confidence-adjusted score.</w:t>
      </w:r>
    </w:p>
    <w:p>
      <w:pPr>
        <w:pStyle w:val="ListNumber"/>
        <w:spacing w:after="40"/>
      </w:pPr>
      <w:r>
        <w:t>Sort all tickers descending by confidence-adjusted score.</w:t>
      </w:r>
    </w:p>
    <w:p>
      <w:pPr>
        <w:pStyle w:val="ListNumber"/>
        <w:spacing w:after="40"/>
      </w:pPr>
      <w:r>
        <w:t>Assign rank 1 to the highest-scoring ticker, rank N to the lowest.</w:t>
      </w:r>
    </w:p>
    <w:p>
      <w:pPr>
        <w:pStyle w:val="ListNumber"/>
        <w:spacing w:after="40"/>
      </w:pPr>
      <w:r>
        <w:t>Render the Priority Ranking Board and per-ticker ranking panels.</w:t>
      </w:r>
    </w:p>
    <w:p>
      <w:pPr>
        <w:pStyle w:val="ListNumber"/>
        <w:spacing w:after="40"/>
      </w:pPr>
      <w:r>
        <w:t>Run QA checks and display warnings for incomplete or fragile rankings.</w:t>
      </w:r>
    </w:p>
    <w:p>
      <w:pPr>
        <w:pStyle w:val="Heading2"/>
      </w:pPr>
      <w:r>
        <w:t>12.2 QA Checklist</w:t>
      </w:r>
    </w:p>
    <w:p>
      <w:pPr>
        <w:pStyle w:val="ListBullet"/>
        <w:spacing w:after="40"/>
      </w:pPr>
      <w:r>
        <w:t>Every analyzed ticker appears on the Priority Ranking Board.</w:t>
      </w:r>
    </w:p>
    <w:p>
      <w:pPr>
        <w:pStyle w:val="ListBullet"/>
        <w:spacing w:after="40"/>
      </w:pPr>
      <w:r>
        <w:t>Current 9-stock basket ranks from 1 to 9 with no duplicate ranks.</w:t>
      </w:r>
    </w:p>
    <w:p>
      <w:pPr>
        <w:pStyle w:val="ListBullet"/>
        <w:spacing w:after="40"/>
      </w:pPr>
      <w:r>
        <w:t>Composite scores are between 0 and 100.</w:t>
      </w:r>
    </w:p>
    <w:p>
      <w:pPr>
        <w:pStyle w:val="ListBullet"/>
        <w:spacing w:after="40"/>
      </w:pPr>
      <w:r>
        <w:t>Every ticker has a sector template.</w:t>
      </w:r>
    </w:p>
    <w:p>
      <w:pPr>
        <w:pStyle w:val="ListBullet"/>
        <w:spacing w:after="40"/>
      </w:pPr>
      <w:r>
        <w:t>Weights sum to 100 for every ticker after dynamic adjustments.</w:t>
      </w:r>
    </w:p>
    <w:p>
      <w:pPr>
        <w:pStyle w:val="ListBullet"/>
        <w:spacing w:after="40"/>
      </w:pPr>
      <w:r>
        <w:t>Missing options or MCS data is handled with confidence adjustment, not fabricated values.</w:t>
      </w:r>
    </w:p>
    <w:p>
      <w:pPr>
        <w:pStyle w:val="ListBullet"/>
        <w:spacing w:after="40"/>
      </w:pPr>
      <w:r>
        <w:t>Each rank includes a human-readable explanation.</w:t>
      </w:r>
    </w:p>
    <w:p>
      <w:pPr>
        <w:pStyle w:val="ListBullet"/>
        <w:spacing w:after="40"/>
      </w:pPr>
      <w:r>
        <w:t>Sorting and filtering work correctly.</w:t>
      </w:r>
    </w:p>
    <w:p>
      <w:pPr>
        <w:pStyle w:val="ListBullet"/>
        <w:spacing w:after="40"/>
      </w:pPr>
      <w:r>
        <w:t>Ticker rows link to full company dashboards.</w:t>
      </w:r>
    </w:p>
    <w:p>
      <w:pPr>
        <w:pStyle w:val="ListBullet"/>
        <w:spacing w:after="40"/>
      </w:pPr>
      <w:r>
        <w:t>The dashboard does not label the ranking as financial advice.</w:t>
      </w:r>
    </w:p>
    <w:p>
      <w:pPr>
        <w:pStyle w:val="ListBullet"/>
        <w:spacing w:after="40"/>
      </w:pPr>
      <w:r>
        <w:t>Technical and fundamental disagreement is explicitly explained when present.</w:t>
      </w:r>
    </w:p>
    <w:p>
      <w:pPr>
        <w:pStyle w:val="ListBullet"/>
        <w:spacing w:after="40"/>
      </w:pPr>
      <w:r>
        <w:t>MCS claims preserve source quotes where used.</w:t>
      </w:r>
    </w:p>
    <w:p>
      <w:pPr>
        <w:pStyle w:val="Heading1"/>
      </w:pPr>
      <w:r>
        <w:t>13. Rollout Plan</w:t>
      </w:r>
    </w:p>
    <w:tbl>
      <w:tblPr>
        <w:tblW w:type="auto" w:w="0"/>
        <w:jc w:val="center"/>
        <w:tblLook w:firstColumn="1" w:firstRow="1" w:lastColumn="0" w:lastRow="0" w:noHBand="0" w:noVBand="1" w:val="04A0"/>
      </w:tblPr>
      <w:tblGrid>
        <w:gridCol w:w="3456"/>
        <w:gridCol w:w="3456"/>
        <w:gridCol w:w="3456"/>
      </w:tblGrid>
      <w:tr>
        <w:tc>
          <w:tcPr>
            <w:tcW w:type="dxa" w:w="223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Phase</w:t>
            </w:r>
          </w:p>
        </w:tc>
        <w:tc>
          <w:tcPr>
            <w:tcW w:type="dxa" w:w="417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Scope</w:t>
            </w:r>
          </w:p>
        </w:tc>
        <w:tc>
          <w:tcPr>
            <w:tcW w:type="dxa" w:w="43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Deliverable</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Phase 1 - 9-stock prototype</w:t>
            </w:r>
          </w:p>
        </w:tc>
        <w:tc>
          <w:tcPr>
            <w:tcW w:type="dxa" w:w="4176"/>
            <w:vAlign w:val="top"/>
            <w:tcBorders>
              <w:top w:val="single" w:sz="6" w:space="0" w:color="D9D9D9"/>
              <w:left w:val="single" w:sz="6" w:space="0" w:color="D9D9D9"/>
              <w:bottom w:val="single" w:sz="6" w:space="0" w:color="D9D9D9"/>
              <w:right w:val="single" w:sz="6" w:space="0" w:color="D9D9D9"/>
            </w:tcBorders>
          </w:tcPr>
          <w:p>
            <w:pPr>
              <w:spacing w:after="0"/>
            </w:pPr>
            <w:r>
              <w:rPr>
                <w:sz w:val="17"/>
              </w:rPr>
              <w:t>Use current analyzed stocks only.</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Priority board ranked 1-9 with factor scores and confidence.</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Phase 2 - 20-stock expansion</w:t>
            </w:r>
          </w:p>
        </w:tc>
        <w:tc>
          <w:tcPr>
            <w:tcW w:type="dxa" w:w="4176"/>
            <w:vAlign w:val="top"/>
            <w:tcBorders>
              <w:top w:val="single" w:sz="6" w:space="0" w:color="D9D9D9"/>
              <w:left w:val="single" w:sz="6" w:space="0" w:color="D9D9D9"/>
              <w:bottom w:val="single" w:sz="6" w:space="0" w:color="D9D9D9"/>
              <w:right w:val="single" w:sz="6" w:space="0" w:color="D9D9D9"/>
            </w:tcBorders>
          </w:tcPr>
          <w:p>
            <w:pPr>
              <w:spacing w:after="0"/>
            </w:pPr>
            <w:r>
              <w:rPr>
                <w:sz w:val="17"/>
              </w:rPr>
              <w:t>Add additional growth stocks and sector templates.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Validate dynamic sector weighting and missing-data behavior.</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Phase 3 - 50-stock universe</w:t>
            </w:r>
          </w:p>
        </w:tc>
        <w:tc>
          <w:tcPr>
            <w:tcW w:type="dxa" w:w="4176"/>
            <w:vAlign w:val="top"/>
            <w:tcBorders>
              <w:top w:val="single" w:sz="6" w:space="0" w:color="D9D9D9"/>
              <w:left w:val="single" w:sz="6" w:space="0" w:color="D9D9D9"/>
              <w:bottom w:val="single" w:sz="6" w:space="0" w:color="D9D9D9"/>
              <w:right w:val="single" w:sz="6" w:space="0" w:color="D9D9D9"/>
            </w:tcBorders>
          </w:tcPr>
          <w:p>
            <w:pPr>
              <w:spacing w:after="0"/>
            </w:pPr>
            <w:r>
              <w:rPr>
                <w:sz w:val="17"/>
              </w:rPr>
              <w:t>Scale across AI, semiconductors, software, EV, crypto, and fintech.</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Add filters, tiers, and saved review notes.</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Phase 4 - 100+ stock research universe</w:t>
            </w:r>
          </w:p>
        </w:tc>
        <w:tc>
          <w:tcPr>
            <w:tcW w:type="dxa" w:w="4176"/>
            <w:vAlign w:val="top"/>
            <w:tcBorders>
              <w:top w:val="single" w:sz="6" w:space="0" w:color="D9D9D9"/>
              <w:left w:val="single" w:sz="6" w:space="0" w:color="D9D9D9"/>
              <w:bottom w:val="single" w:sz="6" w:space="0" w:color="D9D9D9"/>
              <w:right w:val="single" w:sz="6" w:space="0" w:color="D9D9D9"/>
            </w:tcBorders>
          </w:tcPr>
          <w:p>
            <w:pPr>
              <w:spacing w:after="0"/>
            </w:pPr>
            <w:r>
              <w:rPr>
                <w:sz w:val="17"/>
              </w:rPr>
              <w:t>Portfolio-level monitoring.</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Add daily/weekly refresh logic and model-export file.</w:t>
            </w:r>
          </w:p>
        </w:tc>
      </w:tr>
      <w:tr>
        <w:tc>
          <w:tcPr>
            <w:tcW w:type="dxa" w:w="2232"/>
            <w:vAlign w:val="top"/>
            <w:tcBorders>
              <w:top w:val="single" w:sz="6" w:space="0" w:color="D9D9D9"/>
              <w:left w:val="single" w:sz="6" w:space="0" w:color="D9D9D9"/>
              <w:bottom w:val="single" w:sz="6" w:space="0" w:color="D9D9D9"/>
              <w:right w:val="single" w:sz="6" w:space="0" w:color="D9D9D9"/>
            </w:tcBorders>
          </w:tcPr>
          <w:p>
            <w:pPr>
              <w:spacing w:after="0"/>
            </w:pPr>
            <w:r>
              <w:rPr>
                <w:sz w:val="17"/>
              </w:rPr>
              <w:t>Phase 5 - Investment bot integration</w:t>
            </w:r>
          </w:p>
        </w:tc>
        <w:tc>
          <w:tcPr>
            <w:tcW w:type="dxa" w:w="4176"/>
            <w:vAlign w:val="top"/>
            <w:tcBorders>
              <w:top w:val="single" w:sz="6" w:space="0" w:color="D9D9D9"/>
              <w:left w:val="single" w:sz="6" w:space="0" w:color="D9D9D9"/>
              <w:bottom w:val="single" w:sz="6" w:space="0" w:color="D9D9D9"/>
              <w:right w:val="single" w:sz="6" w:space="0" w:color="D9D9D9"/>
            </w:tcBorders>
          </w:tcPr>
          <w:p>
            <w:pPr>
              <w:spacing w:after="0"/>
            </w:pPr>
            <w:r>
              <w:rPr>
                <w:sz w:val="17"/>
              </w:rPr>
              <w:t>Use scores as features.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Feed factor scores into ML/risk engine, not as standalone trade signals.</w:t>
            </w:r>
          </w:p>
        </w:tc>
      </w:tr>
    </w:tbl>
    <w:p/>
    <w:p>
      <w:pPr>
        <w:pStyle w:val="Heading1"/>
      </w:pPr>
      <w:r>
        <w:t>14. Risks and Mitigations</w:t>
      </w:r>
    </w:p>
    <w:tbl>
      <w:tblPr>
        <w:tblW w:type="auto" w:w="0"/>
        <w:jc w:val="center"/>
        <w:tblLook w:firstColumn="1" w:firstRow="1" w:lastColumn="0" w:lastRow="0" w:noHBand="0" w:noVBand="1" w:val="04A0"/>
      </w:tblPr>
      <w:tblGrid>
        <w:gridCol w:w="3456"/>
        <w:gridCol w:w="3456"/>
        <w:gridCol w:w="3456"/>
      </w:tblGrid>
      <w:tr>
        <w:tc>
          <w:tcPr>
            <w:tcW w:type="dxa" w:w="2088"/>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Risk</w:t>
            </w:r>
          </w:p>
        </w:tc>
        <w:tc>
          <w:tcPr>
            <w:tcW w:type="dxa" w:w="43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Why it matters</w:t>
            </w:r>
          </w:p>
        </w:tc>
        <w:tc>
          <w:tcPr>
            <w:tcW w:type="dxa" w:w="432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Mitigation</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Over-reliance on composite score</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Analysts may trust rank without reading the thesis.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Show factor breakdown and explanation for every rank.</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Sector mismatch</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Wrong weights create unfair ranking.</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Use sector template and manual override field.</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Missing data</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Incomplete dashboard may appear worse or better than it is.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Use confidence adjustment and warnings.</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MCS overfitting</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Small number of claims may distort credibility score.</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Cap MCS weight until sufficient closed claims exist.</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Valuation distortion</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Cyclical stocks can look expensive at troughs.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Use sector-aware valuation interpretation.</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Options data noise</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Options flows can be short-term and misleading.</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Use options as timing/risk factor, not core thesis alone.</w:t>
            </w:r>
          </w:p>
        </w:tc>
      </w:tr>
      <w:tr>
        <w:tc>
          <w:tcPr>
            <w:tcW w:type="dxa" w:w="2088"/>
            <w:vAlign w:val="top"/>
            <w:tcBorders>
              <w:top w:val="single" w:sz="6" w:space="0" w:color="D9D9D9"/>
              <w:left w:val="single" w:sz="6" w:space="0" w:color="D9D9D9"/>
              <w:bottom w:val="single" w:sz="6" w:space="0" w:color="D9D9D9"/>
              <w:right w:val="single" w:sz="6" w:space="0" w:color="D9D9D9"/>
            </w:tcBorders>
          </w:tcPr>
          <w:p>
            <w:pPr>
              <w:spacing w:after="0"/>
            </w:pPr>
            <w:r>
              <w:rPr>
                <w:sz w:val="17"/>
              </w:rPr>
              <w:t>Hardcoded ticker logic</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System breaks when adding new companies.</w:t>
            </w:r>
          </w:p>
        </w:tc>
        <w:tc>
          <w:tcPr>
            <w:tcW w:type="dxa" w:w="4320"/>
            <w:vAlign w:val="top"/>
            <w:tcBorders>
              <w:top w:val="single" w:sz="6" w:space="0" w:color="D9D9D9"/>
              <w:left w:val="single" w:sz="6" w:space="0" w:color="D9D9D9"/>
              <w:bottom w:val="single" w:sz="6" w:space="0" w:color="D9D9D9"/>
              <w:right w:val="single" w:sz="6" w:space="0" w:color="D9D9D9"/>
            </w:tcBorders>
          </w:tcPr>
          <w:p>
            <w:pPr>
              <w:spacing w:after="0"/>
            </w:pPr>
            <w:r>
              <w:rPr>
                <w:sz w:val="17"/>
              </w:rPr>
              <w:t>Implement reusable functions and loop through all tickers.</w:t>
            </w:r>
          </w:p>
        </w:tc>
      </w:tr>
    </w:tbl>
    <w:p/>
    <w:p>
      <w:pPr>
        <w:pStyle w:val="Heading1"/>
      </w:pPr>
      <w:r>
        <w:t>15. Acceptance Criteria</w:t>
      </w:r>
    </w:p>
    <w:tbl>
      <w:tblPr>
        <w:tblW w:type="auto" w:w="0"/>
        <w:jc w:val="center"/>
        <w:tblLook w:firstColumn="1" w:firstRow="1" w:lastColumn="0" w:lastRow="0" w:noHBand="0" w:noVBand="1" w:val="04A0"/>
      </w:tblPr>
      <w:tblGrid>
        <w:gridCol w:w="5184"/>
        <w:gridCol w:w="5184"/>
      </w:tblGrid>
      <w:tr>
        <w:tc>
          <w:tcPr>
            <w:tcW w:type="dxa" w:w="3168"/>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Requirement</w:t>
            </w:r>
          </w:p>
        </w:tc>
        <w:tc>
          <w:tcPr>
            <w:tcW w:type="dxa" w:w="7200"/>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Pass condition</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Ranking board exists</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A new top-level page displays all ranked tickers.</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Correct rank range</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With 9 stocks, ranks are exactly 1-9; with 50 stocks, 1-50.</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Sector-aware weights</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Each stock shows selected sector template and weights used.</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Weights sum to 100</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Every ticker weight profile sums to 100 after adjustments.</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Score range</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All factor scores and composite scores are 0-100.</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MCS included</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Management credibility contributes meaningfully, default around 20%.</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Missing data handled</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Missing sections create warning and confidence adjustment.</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Explainability</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Every ranking row has top positive driver, top risk, and next action.</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No hardcoding</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Adding a new ticker automatically includes it if dashboard data exists.</w:t>
            </w:r>
          </w:p>
        </w:tc>
      </w:tr>
      <w:tr>
        <w:tc>
          <w:tcPr>
            <w:tcW w:type="dxa" w:w="3168"/>
            <w:vAlign w:val="top"/>
            <w:tcBorders>
              <w:top w:val="single" w:sz="6" w:space="0" w:color="D9D9D9"/>
              <w:left w:val="single" w:sz="6" w:space="0" w:color="D9D9D9"/>
              <w:bottom w:val="single" w:sz="6" w:space="0" w:color="D9D9D9"/>
              <w:right w:val="single" w:sz="6" w:space="0" w:color="D9D9D9"/>
            </w:tcBorders>
          </w:tcPr>
          <w:p>
            <w:pPr>
              <w:spacing w:after="0"/>
            </w:pPr>
            <w:r>
              <w:rPr>
                <w:sz w:val="17"/>
              </w:rPr>
              <w:t>Reviewer usability</w:t>
            </w:r>
          </w:p>
        </w:tc>
        <w:tc>
          <w:tcPr>
            <w:tcW w:type="dxa" w:w="7200"/>
            <w:vAlign w:val="top"/>
            <w:tcBorders>
              <w:top w:val="single" w:sz="6" w:space="0" w:color="D9D9D9"/>
              <w:left w:val="single" w:sz="6" w:space="0" w:color="D9D9D9"/>
              <w:bottom w:val="single" w:sz="6" w:space="0" w:color="D9D9D9"/>
              <w:right w:val="single" w:sz="6" w:space="0" w:color="D9D9D9"/>
            </w:tcBorders>
          </w:tcPr>
          <w:p>
            <w:pPr>
              <w:spacing w:after="0"/>
            </w:pPr>
            <w:r>
              <w:rPr>
                <w:sz w:val="17"/>
              </w:rPr>
              <w:t>Top-rank rationale is clear.</w:t>
            </w:r>
          </w:p>
        </w:tc>
      </w:tr>
    </w:tbl>
    <w:p/>
    <w:p>
      <w:pPr>
        <w:pStyle w:val="Heading1"/>
      </w:pPr>
      <w:r>
        <w:t>16. Appendix: Example Priority Board</w:t>
      </w:r>
    </w:p>
    <w:p>
      <w:r>
        <w:t>The table below is a structural example only. Rahul should populate the real values using the dashboard data. The tickers are examples from the current/expected research universe.</w:t>
      </w:r>
    </w:p>
    <w:tbl>
      <w:tblPr>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86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Rank</w:t>
            </w:r>
          </w:p>
        </w:tc>
        <w:tc>
          <w:tcPr>
            <w:tcW w:type="dxa" w:w="122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Ticker</w:t>
            </w:r>
          </w:p>
        </w:tc>
        <w:tc>
          <w:tcPr>
            <w:tcW w:type="dxa" w:w="201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Sector</w:t>
            </w:r>
          </w:p>
        </w:tc>
        <w:tc>
          <w:tcPr>
            <w:tcW w:type="dxa" w:w="93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Score</w:t>
            </w:r>
          </w:p>
        </w:tc>
        <w:tc>
          <w:tcPr>
            <w:tcW w:type="dxa" w:w="1008"/>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Conf.</w:t>
            </w:r>
          </w:p>
        </w:tc>
        <w:tc>
          <w:tcPr>
            <w:tcW w:type="dxa" w:w="936"/>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Tier</w:t>
            </w:r>
          </w:p>
        </w:tc>
        <w:tc>
          <w:tcPr>
            <w:tcW w:type="dxa" w:w="2592"/>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Top driver</w:t>
            </w:r>
          </w:p>
        </w:tc>
        <w:tc>
          <w:tcPr>
            <w:tcW w:type="dxa" w:w="230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Top risk</w:t>
            </w:r>
          </w:p>
        </w:tc>
        <w:tc>
          <w:tcPr>
            <w:tcW w:type="dxa" w:w="1584"/>
            <w:vAlign w:val="top"/>
            <w:tcBorders>
              <w:top w:val="single" w:sz="6" w:space="0" w:color="D9D9D9"/>
              <w:left w:val="single" w:sz="6" w:space="0" w:color="D9D9D9"/>
              <w:bottom w:val="single" w:sz="6" w:space="0" w:color="D9D9D9"/>
              <w:right w:val="single" w:sz="6" w:space="0" w:color="D9D9D9"/>
            </w:tcBorders>
            <w:shd w:fill="1F4E79"/>
          </w:tcPr>
          <w:p>
            <w:pPr>
              <w:spacing w:after="0"/>
            </w:pPr>
            <w:r>
              <w:rPr>
                <w:b/>
                <w:color w:val="FFFFFF"/>
                <w:sz w:val="16"/>
              </w:rPr>
              <w:t>Next action</w:t>
            </w:r>
          </w:p>
        </w:tc>
      </w:tr>
      <w:tr>
        <w:tc>
          <w:tcPr>
            <w:tcW w:type="dxa" w:w="864"/>
            <w:vAlign w:val="top"/>
            <w:tcBorders>
              <w:top w:val="single" w:sz="6" w:space="0" w:color="D9D9D9"/>
              <w:left w:val="single" w:sz="6" w:space="0" w:color="D9D9D9"/>
              <w:bottom w:val="single" w:sz="6" w:space="0" w:color="D9D9D9"/>
              <w:right w:val="single" w:sz="6" w:space="0" w:color="D9D9D9"/>
            </w:tcBorders>
          </w:tcPr>
          <w:p>
            <w:pPr>
              <w:spacing w:after="0"/>
            </w:pPr>
            <w:r>
              <w:rPr>
                <w:sz w:val="17"/>
              </w:rPr>
              <w:t>1</w:t>
            </w:r>
          </w:p>
        </w:tc>
        <w:tc>
          <w:tcPr>
            <w:tcW w:type="dxa" w:w="1224"/>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1008"/>
            <w:vAlign w:val="top"/>
            <w:tcBorders>
              <w:top w:val="single" w:sz="6" w:space="0" w:color="D9D9D9"/>
              <w:left w:val="single" w:sz="6" w:space="0" w:color="D9D9D9"/>
              <w:bottom w:val="single" w:sz="6" w:space="0" w:color="D9D9D9"/>
              <w:right w:val="single" w:sz="6" w:space="0" w:color="D9D9D9"/>
            </w:tcBorders>
          </w:tcPr>
          <w:p>
            <w:pPr>
              <w:spacing w:after="0"/>
            </w:pPr>
            <w:r>
              <w:rPr>
                <w:sz w:val="17"/>
              </w:rPr>
              <w:t>High</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A+</w:t>
            </w:r>
          </w:p>
        </w:tc>
        <w:tc>
          <w:tcPr>
            <w:tcW w:type="dxa" w:w="2592"/>
            <w:vAlign w:val="top"/>
            <w:tcBorders>
              <w:top w:val="single" w:sz="6" w:space="0" w:color="D9D9D9"/>
              <w:left w:val="single" w:sz="6" w:space="0" w:color="D9D9D9"/>
              <w:bottom w:val="single" w:sz="6" w:space="0" w:color="D9D9D9"/>
              <w:right w:val="single" w:sz="6" w:space="0" w:color="D9D9D9"/>
            </w:tcBorders>
          </w:tcPr>
          <w:p>
            <w:pPr>
              <w:spacing w:after="0"/>
            </w:pPr>
            <w:r>
              <w:rPr>
                <w:sz w:val="17"/>
              </w:rPr>
              <w:t>Best combined score</w:t>
            </w:r>
          </w:p>
        </w:tc>
        <w:tc>
          <w:tcPr>
            <w:tcW w:type="dxa" w:w="2304"/>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Senior review</w:t>
            </w:r>
          </w:p>
        </w:tc>
      </w:tr>
      <w:tr>
        <w:tc>
          <w:tcPr>
            <w:tcW w:type="dxa" w:w="864"/>
            <w:vAlign w:val="top"/>
            <w:tcBorders>
              <w:top w:val="single" w:sz="6" w:space="0" w:color="D9D9D9"/>
              <w:left w:val="single" w:sz="6" w:space="0" w:color="D9D9D9"/>
              <w:bottom w:val="single" w:sz="6" w:space="0" w:color="D9D9D9"/>
              <w:right w:val="single" w:sz="6" w:space="0" w:color="D9D9D9"/>
            </w:tcBorders>
          </w:tcPr>
          <w:p>
            <w:pPr>
              <w:spacing w:after="0"/>
            </w:pPr>
            <w:r>
              <w:rPr>
                <w:sz w:val="17"/>
              </w:rPr>
              <w:t>2</w:t>
            </w:r>
          </w:p>
        </w:tc>
        <w:tc>
          <w:tcPr>
            <w:tcW w:type="dxa" w:w="1224"/>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1008"/>
            <w:vAlign w:val="top"/>
            <w:tcBorders>
              <w:top w:val="single" w:sz="6" w:space="0" w:color="D9D9D9"/>
              <w:left w:val="single" w:sz="6" w:space="0" w:color="D9D9D9"/>
              <w:bottom w:val="single" w:sz="6" w:space="0" w:color="D9D9D9"/>
              <w:right w:val="single" w:sz="6" w:space="0" w:color="D9D9D9"/>
            </w:tcBorders>
          </w:tcPr>
          <w:p>
            <w:pPr>
              <w:spacing w:after="0"/>
            </w:pPr>
            <w:r>
              <w:rPr>
                <w:sz w:val="17"/>
              </w:rPr>
              <w:t>High</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A</w:t>
            </w:r>
          </w:p>
        </w:tc>
        <w:tc>
          <w:tcPr>
            <w:tcW w:type="dxa" w:w="2592"/>
            <w:vAlign w:val="top"/>
            <w:tcBorders>
              <w:top w:val="single" w:sz="6" w:space="0" w:color="D9D9D9"/>
              <w:left w:val="single" w:sz="6" w:space="0" w:color="D9D9D9"/>
              <w:bottom w:val="single" w:sz="6" w:space="0" w:color="D9D9D9"/>
              <w:right w:val="single" w:sz="6" w:space="0" w:color="D9D9D9"/>
            </w:tcBorders>
          </w:tcPr>
          <w:p>
            <w:pPr>
              <w:spacing w:after="0"/>
            </w:pPr>
            <w:r>
              <w:rPr>
                <w:sz w:val="17"/>
              </w:rPr>
              <w:t>Strong fundamentals/MCS</w:t>
            </w:r>
          </w:p>
        </w:tc>
        <w:tc>
          <w:tcPr>
            <w:tcW w:type="dxa" w:w="2304"/>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Watchlist</w:t>
            </w:r>
          </w:p>
        </w:tc>
      </w:tr>
      <w:tr>
        <w:tc>
          <w:tcPr>
            <w:tcW w:type="dxa" w:w="864"/>
            <w:vAlign w:val="top"/>
            <w:tcBorders>
              <w:top w:val="single" w:sz="6" w:space="0" w:color="D9D9D9"/>
              <w:left w:val="single" w:sz="6" w:space="0" w:color="D9D9D9"/>
              <w:bottom w:val="single" w:sz="6" w:space="0" w:color="D9D9D9"/>
              <w:right w:val="single" w:sz="6" w:space="0" w:color="D9D9D9"/>
            </w:tcBorders>
          </w:tcPr>
          <w:p>
            <w:pPr>
              <w:spacing w:after="0"/>
            </w:pPr>
            <w:r>
              <w:rPr>
                <w:sz w:val="17"/>
              </w:rPr>
              <w:t>3</w:t>
            </w:r>
          </w:p>
        </w:tc>
        <w:tc>
          <w:tcPr>
            <w:tcW w:type="dxa" w:w="1224"/>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TBD</w:t>
            </w:r>
          </w:p>
        </w:tc>
        <w:tc>
          <w:tcPr>
            <w:tcW w:type="dxa" w:w="1008"/>
            <w:vAlign w:val="top"/>
            <w:tcBorders>
              <w:top w:val="single" w:sz="6" w:space="0" w:color="D9D9D9"/>
              <w:left w:val="single" w:sz="6" w:space="0" w:color="D9D9D9"/>
              <w:bottom w:val="single" w:sz="6" w:space="0" w:color="D9D9D9"/>
              <w:right w:val="single" w:sz="6" w:space="0" w:color="D9D9D9"/>
            </w:tcBorders>
          </w:tcPr>
          <w:p>
            <w:pPr>
              <w:spacing w:after="0"/>
            </w:pPr>
            <w:r>
              <w:rPr>
                <w:sz w:val="17"/>
              </w:rPr>
              <w:t>Medium</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A/B</w:t>
            </w:r>
          </w:p>
        </w:tc>
        <w:tc>
          <w:tcPr>
            <w:tcW w:type="dxa" w:w="2592"/>
            <w:vAlign w:val="top"/>
            <w:tcBorders>
              <w:top w:val="single" w:sz="6" w:space="0" w:color="D9D9D9"/>
              <w:left w:val="single" w:sz="6" w:space="0" w:color="D9D9D9"/>
              <w:bottom w:val="single" w:sz="6" w:space="0" w:color="D9D9D9"/>
              <w:right w:val="single" w:sz="6" w:space="0" w:color="D9D9D9"/>
            </w:tcBorders>
          </w:tcPr>
          <w:p>
            <w:pPr>
              <w:spacing w:after="0"/>
            </w:pPr>
            <w:r>
              <w:rPr>
                <w:sz w:val="17"/>
              </w:rPr>
              <w:t>Good setup but data gap</w:t>
            </w:r>
          </w:p>
        </w:tc>
        <w:tc>
          <w:tcPr>
            <w:tcW w:type="dxa" w:w="2304"/>
            <w:vAlign w:val="top"/>
            <w:tcBorders>
              <w:top w:val="single" w:sz="6" w:space="0" w:color="D9D9D9"/>
              <w:left w:val="single" w:sz="6" w:space="0" w:color="D9D9D9"/>
              <w:bottom w:val="single" w:sz="6" w:space="0" w:color="D9D9D9"/>
              <w:right w:val="single" w:sz="6" w:space="0" w:color="D9D9D9"/>
            </w:tcBorders>
          </w:tcPr>
          <w:p>
            <w:pPr>
              <w:spacing w:after="0"/>
            </w:pPr>
            <w:r>
              <w:rPr>
                <w:sz w:val="17"/>
              </w:rPr>
              <w:t>Missing options or valuation</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Fill data</w:t>
            </w:r>
          </w:p>
        </w:tc>
      </w:tr>
      <w:tr>
        <w:tc>
          <w:tcPr>
            <w:tcW w:type="dxa" w:w="864"/>
            <w:vAlign w:val="top"/>
            <w:tcBorders>
              <w:top w:val="single" w:sz="6" w:space="0" w:color="D9D9D9"/>
              <w:left w:val="single" w:sz="6" w:space="0" w:color="D9D9D9"/>
              <w:bottom w:val="single" w:sz="6" w:space="0" w:color="D9D9D9"/>
              <w:right w:val="single" w:sz="6" w:space="0" w:color="D9D9D9"/>
            </w:tcBorders>
          </w:tcPr>
          <w:p>
            <w:pPr>
              <w:spacing w:after="0"/>
            </w:pPr>
            <w:r>
              <w:rPr>
                <w:sz w:val="17"/>
              </w:rPr>
              <w:t>4-9</w:t>
            </w:r>
          </w:p>
        </w:tc>
        <w:tc>
          <w:tcPr>
            <w:tcW w:type="dxa" w:w="1224"/>
            <w:vAlign w:val="top"/>
            <w:tcBorders>
              <w:top w:val="single" w:sz="6" w:space="0" w:color="D9D9D9"/>
              <w:left w:val="single" w:sz="6" w:space="0" w:color="D9D9D9"/>
              <w:bottom w:val="single" w:sz="6" w:space="0" w:color="D9D9D9"/>
              <w:right w:val="single" w:sz="6" w:space="0" w:color="D9D9D9"/>
            </w:tcBorders>
          </w:tcPr>
          <w:p>
            <w:pPr>
              <w:spacing w:after="0"/>
            </w:pPr>
            <w:r>
              <w:rPr>
                <w:sz w:val="17"/>
              </w:rPr>
              <w:t>Remaining current basket</w:t>
            </w:r>
          </w:p>
        </w:tc>
        <w:tc>
          <w:tcPr>
            <w:tcW w:type="dxa" w:w="2016"/>
            <w:vAlign w:val="top"/>
            <w:tcBorders>
              <w:top w:val="single" w:sz="6" w:space="0" w:color="D9D9D9"/>
              <w:left w:val="single" w:sz="6" w:space="0" w:color="D9D9D9"/>
              <w:bottom w:val="single" w:sz="6" w:space="0" w:color="D9D9D9"/>
              <w:right w:val="single" w:sz="6" w:space="0" w:color="D9D9D9"/>
            </w:tcBorders>
          </w:tcPr>
          <w:p>
            <w:pPr>
              <w:spacing w:after="0"/>
            </w:pPr>
            <w:r>
              <w:rPr>
                <w:sz w:val="17"/>
              </w:rPr>
              <w:t>Various</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Calculated</w:t>
            </w:r>
          </w:p>
        </w:tc>
        <w:tc>
          <w:tcPr>
            <w:tcW w:type="dxa" w:w="1008"/>
            <w:vAlign w:val="top"/>
            <w:tcBorders>
              <w:top w:val="single" w:sz="6" w:space="0" w:color="D9D9D9"/>
              <w:left w:val="single" w:sz="6" w:space="0" w:color="D9D9D9"/>
              <w:bottom w:val="single" w:sz="6" w:space="0" w:color="D9D9D9"/>
              <w:right w:val="single" w:sz="6" w:space="0" w:color="D9D9D9"/>
            </w:tcBorders>
          </w:tcPr>
          <w:p>
            <w:pPr>
              <w:spacing w:after="0"/>
            </w:pPr>
            <w:r>
              <w:rPr>
                <w:sz w:val="17"/>
              </w:rPr>
              <w:t>Varies</w:t>
            </w:r>
          </w:p>
        </w:tc>
        <w:tc>
          <w:tcPr>
            <w:tcW w:type="dxa" w:w="936"/>
            <w:vAlign w:val="top"/>
            <w:tcBorders>
              <w:top w:val="single" w:sz="6" w:space="0" w:color="D9D9D9"/>
              <w:left w:val="single" w:sz="6" w:space="0" w:color="D9D9D9"/>
              <w:bottom w:val="single" w:sz="6" w:space="0" w:color="D9D9D9"/>
              <w:right w:val="single" w:sz="6" w:space="0" w:color="D9D9D9"/>
            </w:tcBorders>
          </w:tcPr>
          <w:p>
            <w:pPr>
              <w:spacing w:after="0"/>
            </w:pPr>
            <w:r>
              <w:rPr>
                <w:sz w:val="17"/>
              </w:rPr>
              <w:t>B-D</w:t>
            </w:r>
          </w:p>
        </w:tc>
        <w:tc>
          <w:tcPr>
            <w:tcW w:type="dxa" w:w="2592"/>
            <w:vAlign w:val="top"/>
            <w:tcBorders>
              <w:top w:val="single" w:sz="6" w:space="0" w:color="D9D9D9"/>
              <w:left w:val="single" w:sz="6" w:space="0" w:color="D9D9D9"/>
              <w:bottom w:val="single" w:sz="6" w:space="0" w:color="D9D9D9"/>
              <w:right w:val="single" w:sz="6" w:space="0" w:color="D9D9D9"/>
            </w:tcBorders>
          </w:tcPr>
          <w:p>
            <w:pPr>
              <w:spacing w:after="0"/>
            </w:pPr>
            <w:r>
              <w:rPr>
                <w:sz w:val="17"/>
              </w:rPr>
              <w:t>Factor-specific</w:t>
            </w:r>
          </w:p>
        </w:tc>
        <w:tc>
          <w:tcPr>
            <w:tcW w:type="dxa" w:w="2304"/>
            <w:vAlign w:val="top"/>
            <w:tcBorders>
              <w:top w:val="single" w:sz="6" w:space="0" w:color="D9D9D9"/>
              <w:left w:val="single" w:sz="6" w:space="0" w:color="D9D9D9"/>
              <w:bottom w:val="single" w:sz="6" w:space="0" w:color="D9D9D9"/>
              <w:right w:val="single" w:sz="6" w:space="0" w:color="D9D9D9"/>
            </w:tcBorders>
          </w:tcPr>
          <w:p>
            <w:pPr>
              <w:spacing w:after="0"/>
            </w:pPr>
            <w:r>
              <w:rPr>
                <w:sz w:val="17"/>
              </w:rPr>
              <w:t>Factor-specific</w:t>
            </w:r>
          </w:p>
        </w:tc>
        <w:tc>
          <w:tcPr>
            <w:tcW w:type="dxa" w:w="1584"/>
            <w:vAlign w:val="top"/>
            <w:tcBorders>
              <w:top w:val="single" w:sz="6" w:space="0" w:color="D9D9D9"/>
              <w:left w:val="single" w:sz="6" w:space="0" w:color="D9D9D9"/>
              <w:bottom w:val="single" w:sz="6" w:space="0" w:color="D9D9D9"/>
              <w:right w:val="single" w:sz="6" w:space="0" w:color="D9D9D9"/>
            </w:tcBorders>
          </w:tcPr>
          <w:p>
            <w:pPr>
              <w:spacing w:after="0"/>
            </w:pPr>
            <w:r>
              <w:rPr>
                <w:sz w:val="17"/>
              </w:rPr>
              <w:t>Rank by score</w:t>
            </w:r>
          </w:p>
        </w:tc>
      </w:tr>
    </w:tbl>
    <w:p/>
    <w:p>
      <w:pPr>
        <w:pStyle w:val="Heading2"/>
      </w:pPr>
      <w:r>
        <w:t>16.1 Suggested First Task for Claude Code</w:t>
      </w:r>
    </w:p>
    <w:p>
      <w:r>
        <w:t>After this PRD is approved, Rahul can ask Claude Code to implement a new ranking layer. The later Claude Code instruction file should reference this PRD and require reusable functions, not one-off ticker-specific code.</w:t>
      </w:r>
    </w:p>
    <w:tbl>
      <w:tblPr>
        <w:tblW w:type="auto" w:w="0"/>
        <w:jc w:val="center"/>
        <w:tblLook w:firstColumn="1" w:firstRow="1" w:lastColumn="0" w:lastRow="0" w:noHBand="0" w:noVBand="1" w:val="04A0"/>
      </w:tblPr>
      <w:tblGrid>
        <w:gridCol w:w="10368"/>
      </w:tblGrid>
      <w:tr>
        <w:tc>
          <w:tcPr>
            <w:tcW w:type="dxa" w:w="10368"/>
            <w:shd w:fill="EAF2F8"/>
            <w:tcBorders>
              <w:top w:val="single" w:sz="12" w:space="0" w:color="1F4E79"/>
              <w:left w:val="single" w:sz="12" w:space="0" w:color="1F4E79"/>
              <w:bottom w:val="single" w:sz="12" w:space="0" w:color="1F4E79"/>
              <w:right w:val="single" w:sz="12" w:space="0" w:color="1F4E79"/>
            </w:tcBorders>
          </w:tcPr>
          <w:p>
            <w:pPr>
              <w:spacing w:after="80"/>
            </w:pPr>
            <w:r>
              <w:rPr>
                <w:b/>
                <w:color w:val="1F4E79"/>
                <w:sz w:val="21"/>
              </w:rPr>
              <w:t>Immediate implementation target</w:t>
            </w:r>
          </w:p>
          <w:p>
            <w:pPr>
              <w:spacing w:after="0"/>
            </w:pPr>
            <w:r>
              <w:rPr>
                <w:sz w:val="19"/>
              </w:rPr>
              <w:t>Build Version 1 for the current 9-stock universe. Output: rank 1-9, composite score, confidence, sector template, factor breakdown, top drivers, top risks, and next action.</w:t>
            </w:r>
          </w:p>
        </w:tc>
      </w:tr>
    </w:tbl>
    <w:p>
      <w:pPr>
        <w:pStyle w:val="Heading2"/>
      </w:pPr>
      <w:r>
        <w:t>16.2 Final Guidance to Rahul</w:t>
      </w:r>
    </w:p>
    <w:p>
      <w:r>
        <w:t>Rahul, the goal is not just to create another dashboard tab. The goal is to build a research prioritization system that helps senior analysts decide where to spend time. A good rank is explainable. A good score shows evidence. A good dashboard admits uncertainty. Start with the current 9 stocks, make it work cleanly, and then scale to 50 and beyond.</w:t>
      </w:r>
    </w:p>
    <w:sectPr w:rsidR="00FC693F" w:rsidRPr="0006063C" w:rsidSect="00034616">
      <w:footerReference w:type="default" r:id="rId11"/>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Rahul Dynamic Growth Stock Priority Ranking PRD |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