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jc w:val="center"/>
        <w:rPr>
          <w:caps w:val="false"/>
          <w:smallCaps w:val="false"/>
        </w:rPr>
      </w:pPr>
      <w:r>
        <w:rPr>
          <w:caps w:val="false"/>
          <w:smallCaps w:val="false"/>
        </w:rPr>
        <w:t> </w:t>
      </w:r>
    </w:p>
    <w:p>
      <w:pPr>
        <w:pStyle w:val="TextBody"/>
        <w:bidi w:val="0"/>
        <w:spacing w:before="0" w:after="0"/>
        <w:ind w:left="117" w:right="117" w:hanging="0"/>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Exhibit 4</w:t>
      </w:r>
    </w:p>
    <w:p>
      <w:pPr>
        <w:pStyle w:val="TextBody"/>
        <w:bidi w:val="0"/>
        <w:spacing w:before="0" w:after="0"/>
        <w:jc w:val="center"/>
        <w:rPr>
          <w:caps w:val="false"/>
          <w:smallCaps w:val="false"/>
        </w:rPr>
      </w:pPr>
      <w:r>
        <w:rPr>
          <w:caps w:val="false"/>
          <w:smallCaps w:val="false"/>
        </w:rPr>
        <w:t> </w:t>
      </w:r>
    </w:p>
    <w:p>
      <w:pPr>
        <w:pStyle w:val="TextBody"/>
        <w:bidi w:val="0"/>
        <w:spacing w:before="0" w:after="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SUBSCRIPTION AGREEMENT</w:t>
      </w:r>
    </w:p>
    <w:p>
      <w:pPr>
        <w:pStyle w:val="TextBody"/>
        <w:bidi w:val="0"/>
        <w:spacing w:before="0" w:after="0"/>
        <w:jc w:val="center"/>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INVESTMENT INVOLVES A HIGH DEGREE OF RISK. THIS INVESTMENT IS SUITABLE ONLY FOR PERSONS WHO CAN BEAR THE ECONOMIC RISK FOR AN INDEFINITE PERIOD OF TIME AND WHO CAN AFFORD TO LOSE THEIR ENTIRE INVESTMENT. FURTHERMORE, INVESTORS MUST UNDERSTAND THAT SUCH INVESTMENT IS ILLIQUID AND IS EXPECTED TO CONTINUE TO BE ILLIQUID FOR AN INDEFINITE PERIOD OF TIME. NO PUBLIC MARKET EXISTS FOR THE SECURITIES, AND NO PUBLIC MARKET IS EXPECTED TO DEVELOP FOLLOWING THIS OFFERING.</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SECURITIES OFFERED HEREBY HAVE NOT BEEN REGISTERED UNDER THE SECURITIES ACT OF 1933, AS AMENDED (THE “</w:t>
      </w:r>
      <w:r>
        <w:rPr>
          <w:rFonts w:ascii="Times New Roman;Times;Serif" w:hAnsi="Times New Roman;Times;Serif"/>
          <w:b/>
          <w:i/>
          <w:caps w:val="false"/>
          <w:smallCaps w:val="false"/>
          <w:sz w:val="20"/>
        </w:rPr>
        <w:t>SECURITIES ACT</w:t>
      </w:r>
      <w:r>
        <w:rPr>
          <w:rFonts w:ascii="Times New Roman;Times;Serif" w:hAnsi="Times New Roman;Times;Serif"/>
          <w:b w:val="false"/>
          <w:i w:val="false"/>
          <w:caps w:val="false"/>
          <w:smallCaps w:val="false"/>
          <w:sz w:val="20"/>
        </w:rPr>
        <w:t>”), OR ANY STATE SECURITIES OR BLUE SKY LAWS AND ARE BEING OFFERED AND SOLD IN RELIANCE ON EXEMPTIONS FROM THE REGISTRATION REQUIREMENTS OF THE SECURITIES ACT AND STATE SECURITIES OR BLUE SKY LAWS. ALTHOUGH AN OFFERING STATEMENT HAS BEEN FILED WITH THE SECURITIES AND EXCHANGE COMMISSION (THE “</w:t>
      </w:r>
      <w:r>
        <w:rPr>
          <w:rFonts w:ascii="Times New Roman;Times;Serif" w:hAnsi="Times New Roman;Times;Serif"/>
          <w:b/>
          <w:i/>
          <w:caps w:val="false"/>
          <w:smallCaps w:val="false"/>
          <w:sz w:val="20"/>
        </w:rPr>
        <w:t>SEC</w:t>
      </w:r>
      <w:r>
        <w:rPr>
          <w:rFonts w:ascii="Times New Roman;Times;Serif" w:hAnsi="Times New Roman;Times;Serif"/>
          <w:b w:val="false"/>
          <w:i w:val="false"/>
          <w:caps w:val="false"/>
          <w:smallCaps w:val="false"/>
          <w:sz w:val="20"/>
        </w:rPr>
        <w:t>”), THAT OFFERING STATEMENT DOES NOT INCLUDE THE SAME INFORMATION THAT WOULD BE INCLUDED IN A REGISTRATION STATEMENT UNDER THE SECURITIES ACT. THE SECURITIES HAVE NOT BEEN APPROVED OR DISAPPROVED BY THE SEC, ANY STATE SECURITIES COMMISSION OR OTHER REGULATORY AUTHORITY, NOR HAVE ANY OF THE FOREGOING AUTHORITIES PASSED UPON THE MERITS OF THIS OFFERING OR THE ADEQUACY OR ACCURACY OF THE SUBSCRIPTION AGREEMENT OR ANY OTHER MATERIALS OR INFORMATION MADE AVAILABLE TO INVESTOR IN CONNECTION WITH THIS OFFERING, OVER THE WEB-BASED PLATFORM MAINTAINED BY STARTENGINE CROWDFUNDING INC. (THE “PLATFORM”) OR THROUGH SI SECURITIES, LLC (THE “BROKER”). ANY REPRESENTATION TO THE CONTRARY IS UNLAWFUL.</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SECURITIES CANNOT BE SOLD OR OTHERWISE TRANSFERRED EXCEPT IN COMPLIANCE WITH THE SECURITIES ACT. IN ADDITION, THE SECURITIES CANNOT BE SOLD OR OTHERWISE TRANSFERRED EXCEPT IN COMPLIANCE WITH APPLICABLE STATE SECURITIES OR “BLUE SKY” LAWS.</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INVESTORS WHO ARE NOT “ACCREDITED INVESTORS” (AS THAT TERM IS DEFINED IN SECTION 501 OF REGULATION D PROMULGATED UNDER THE SECURITIES ACT) ARE SUBJECT TO LIMITATIONS ON THE AMOUNT THEY MAY INVEST, AS SET OUT IN SECTION 5(g). THE COMPANY IS RELYING ON THE REPRESENTATIONS AND WARRANTIES SET FORTH BY EACH INVESTOR IN THIS SUBSCRIPTION AGREEMENT AND THE OTHER INFORMATION PROVIDED BY INVESTOR IN CONNECTION WITH THIS OFFERING TO DETERMINE THE APPLICABILITY TO THIS OFFERING OF EXEMPTIONS FROM THE REGISTRATION REQUIREMENTS OF THE SECURITIES ACT.</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1</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PROSPECTIVE INVESTORS MAY NOT TREAT THE CONTENTS OF THE SUBSCRIPTION AGREEMENT, THE OFFERING CIRCULAR OR ANY OF THE OTHER MATERIALS AVAILIBLE ON THE PLATFORM OR PROVIDED BY THE COMPANY AND/OR BROKER (COLLECTIVELY, THE “</w:t>
      </w:r>
      <w:r>
        <w:rPr>
          <w:rFonts w:ascii="Times New Roman;Times;Serif" w:hAnsi="Times New Roman;Times;Serif"/>
          <w:b/>
          <w:i/>
          <w:caps w:val="false"/>
          <w:smallCaps w:val="false"/>
          <w:sz w:val="20"/>
        </w:rPr>
        <w:t>OFFERING MATERIALS</w:t>
      </w:r>
      <w:r>
        <w:rPr>
          <w:rFonts w:ascii="Times New Roman;Times;Serif" w:hAnsi="Times New Roman;Times;Serif"/>
          <w:b w:val="false"/>
          <w:i w:val="false"/>
          <w:caps w:val="false"/>
          <w:smallCaps w:val="false"/>
          <w:sz w:val="20"/>
        </w:rPr>
        <w:t>”), OR ANY PRIOR OR SUBSEQUENT COMMUNICATIONS FROM THE COMPANY OR ANY OF ITS OFFICERS, EMPLOYEES OR AGENTS (INCLUDING “TESTING THE WATERS” MATERIALS) AS INVESTMENT, LEGAL OR TAX ADVICE. IN MAKING AN INVESTMENT DECISION, INVESTORS MUST RELY ON THEIR OWN EXAMINATION OF THE COMPANY AND THE TERMS OF THIS OFFERING, INCLUDING THE MERITS AND THE RISKS INVOLVED.</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EACH PROSPECTIVE INVESTOR SHOULD CONSULT THE INVESTOR’S OWN COUNSEL, ACCOUNTANTS AND OTHER PROFESSIONAL ADVISORS AS TO INVESTMENT, LEGAL, TAX AND OTHER RELATED MATTERS CONCERNING THE INVESTOR’S PROPOSED INVESTMENT.</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COMPANY MAY NOT BE OFFERING THE SECURITIES IN EVERY STATE. THE OFFERING MATERIALS DO NOT CONSTITUTE AN OFFER OR SOLICITATION IN ANY STATE OR JURISDICTION IN WHICH THE SECURITIES ARE NOT BEING OFFERED.</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INFORMATION PRESENTED IN THE OFFERING MATERIALS WAS PREPARED BY THE COMPANY SOLELY FOR THE USE BY PROSPECTIVE INVESTORS IN CONNECTION WITH THIS OFFERING. NOTHING CONTAINED IN THE OFFERING MATERIALS IS OR SHOULD BE RELIED UPON AS A PROMISE OR REPRESENTATION AS TO THE FUTURE PERFORMANCE OF THE COMPANY.</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2</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COMPANY RESERVES THE RIGHT IN ITS SOLE DISCRETION AND FOR ANY REASON WHATSOEVER TO MODIFY, AMEND AND/OR WITHDRAW ALL OR A PORTION OF THE OFFERING AND/OR ACCEPT OR REJECT IN WHOLE OR IN PART ANY PROSPECTIVE INVESTMENT IN THE SECURITIES OR TO ALLOT TO ANY PROSPECTIVE INVESTOR LESS THAN THE AMOUNT OF SECURITIES SUCH INVESTOR DESIRES TO PURCHASE. EXCEPT AS OTHERWISE INDICATED, THE OFFERING MATERIALS SPEAK AS OF THEIR DATE. NEITHER THE DELIVERY NOR THE PURCHASE OF THE SECURITIES SHALL, UNDER ANY CIRCUMSTANCES, CREATE ANY IMPLICATION THAT THERE HAS BEEN NO CHANGE IN THE AFFAIRS OF THE COMPANY SINCE THAT DATE.</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To: Innovega Inc.</w:t>
      </w:r>
    </w:p>
    <w:p>
      <w:pPr>
        <w:pStyle w:val="TextBody"/>
        <w:bidi w:val="0"/>
        <w:spacing w:before="0" w:after="0"/>
        <w:ind w:left="40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11900 NE 1</w:t>
      </w:r>
      <w:r>
        <w:rPr>
          <w:rFonts w:ascii="Times New Roman;Times;Serif" w:hAnsi="Times New Roman;Times;Serif"/>
          <w:b w:val="false"/>
          <w:i w:val="false"/>
          <w:caps w:val="false"/>
          <w:smallCaps w:val="false"/>
          <w:position w:val="7"/>
          <w:sz w:val="16"/>
          <w:sz w:val="20"/>
        </w:rPr>
        <w:t>st</w:t>
      </w:r>
      <w:r>
        <w:rPr>
          <w:rFonts w:ascii="Times New Roman;Times;Serif" w:hAnsi="Times New Roman;Times;Serif"/>
          <w:b w:val="false"/>
          <w:i w:val="false"/>
          <w:caps w:val="false"/>
          <w:smallCaps w:val="false"/>
          <w:sz w:val="20"/>
        </w:rPr>
        <w:t xml:space="preserve"> Street</w:t>
      </w:r>
    </w:p>
    <w:p>
      <w:pPr>
        <w:pStyle w:val="TextBody"/>
        <w:bidi w:val="0"/>
        <w:spacing w:before="0" w:after="0"/>
        <w:ind w:left="40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Bellevue, Washington 98005</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Ladies and Gentlemen:</w:t>
      </w:r>
    </w:p>
    <w:p>
      <w:pPr>
        <w:pStyle w:val="TextBody"/>
        <w:bidi w:val="0"/>
        <w:spacing w:before="0" w:after="0"/>
        <w:jc w:val="both"/>
        <w:rPr>
          <w:caps w:val="false"/>
          <w:smallCaps w:val="false"/>
        </w:rPr>
      </w:pPr>
      <w:r>
        <w:rPr>
          <w:caps w:val="false"/>
          <w:smallCaps w:val="false"/>
        </w:rPr>
        <w:t> </w:t>
      </w:r>
    </w:p>
    <w:p>
      <w:pPr>
        <w:pStyle w:val="TextBody"/>
        <w:bidi w:val="0"/>
        <w:spacing w:before="0" w:after="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 </w:t>
      </w:r>
      <w:r>
        <w:rPr>
          <w:rFonts w:ascii="Times New Roman;Times;Serif" w:hAnsi="Times New Roman;Times;Serif"/>
          <w:b/>
          <w:i w:val="false"/>
          <w:caps w:val="false"/>
          <w:smallCaps w:val="false"/>
          <w:sz w:val="20"/>
          <w:u w:val="single"/>
        </w:rPr>
        <w:t>Subscription</w:t>
      </w:r>
      <w:r>
        <w:rPr>
          <w:rFonts w:ascii="Times New Roman;Times;Serif" w:hAnsi="Times New Roman;Times;Serif"/>
          <w:b w:val="false"/>
          <w:i w:val="false"/>
          <w:caps w:val="false"/>
          <w:smallCaps w:val="false"/>
          <w:sz w:val="20"/>
        </w:rPr>
        <w: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The undersigned (“Investor”) hereby irrevocably subscribes for and agrees to purchase shares (the “</w:t>
      </w:r>
      <w:r>
        <w:rPr>
          <w:rFonts w:ascii="Times New Roman;Times;Serif" w:hAnsi="Times New Roman;Times;Serif"/>
          <w:b/>
          <w:i/>
          <w:caps w:val="false"/>
          <w:smallCaps w:val="false"/>
          <w:sz w:val="20"/>
        </w:rPr>
        <w:t>Shares</w:t>
      </w:r>
      <w:r>
        <w:rPr>
          <w:rFonts w:ascii="Times New Roman;Times;Serif" w:hAnsi="Times New Roman;Times;Serif"/>
          <w:b w:val="false"/>
          <w:i w:val="false"/>
          <w:caps w:val="false"/>
          <w:smallCaps w:val="false"/>
          <w:sz w:val="20"/>
        </w:rPr>
        <w:t>”) of Series A – 1 Preferred Stock, par value $0.0001 per share (the “</w:t>
      </w:r>
      <w:r>
        <w:rPr>
          <w:rFonts w:ascii="Times New Roman;Times;Serif" w:hAnsi="Times New Roman;Times;Serif"/>
          <w:b/>
          <w:i/>
          <w:caps w:val="false"/>
          <w:smallCaps w:val="false"/>
          <w:sz w:val="20"/>
        </w:rPr>
        <w:t>Series A -1 Preferred Stock</w:t>
      </w:r>
      <w:r>
        <w:rPr>
          <w:rFonts w:ascii="Times New Roman;Times;Serif" w:hAnsi="Times New Roman;Times;Serif"/>
          <w:b w:val="false"/>
          <w:i w:val="false"/>
          <w:caps w:val="false"/>
          <w:smallCaps w:val="false"/>
          <w:sz w:val="20"/>
        </w:rPr>
        <w:t>”), of Innovega Inc., a Delaware corporation (the “</w:t>
      </w:r>
      <w:r>
        <w:rPr>
          <w:rFonts w:ascii="Times New Roman;Times;Serif" w:hAnsi="Times New Roman;Times;Serif"/>
          <w:b/>
          <w:i/>
          <w:caps w:val="false"/>
          <w:smallCaps w:val="false"/>
          <w:sz w:val="20"/>
        </w:rPr>
        <w:t>Company</w:t>
      </w:r>
      <w:r>
        <w:rPr>
          <w:rFonts w:ascii="Times New Roman;Times;Serif" w:hAnsi="Times New Roman;Times;Serif"/>
          <w:b w:val="false"/>
          <w:i w:val="false"/>
          <w:caps w:val="false"/>
          <w:smallCaps w:val="false"/>
          <w:sz w:val="20"/>
        </w:rPr>
        <w:t>”), at a purchase price of $3.00 per share of Series A-1 Preferred Stock (the “</w:t>
      </w:r>
      <w:r>
        <w:rPr>
          <w:rFonts w:ascii="Times New Roman;Times;Serif" w:hAnsi="Times New Roman;Times;Serif"/>
          <w:b/>
          <w:i/>
          <w:caps w:val="false"/>
          <w:smallCaps w:val="false"/>
          <w:sz w:val="20"/>
        </w:rPr>
        <w:t>Per Security Price</w:t>
      </w:r>
      <w:r>
        <w:rPr>
          <w:rFonts w:ascii="Times New Roman;Times;Serif" w:hAnsi="Times New Roman;Times;Serif"/>
          <w:b w:val="false"/>
          <w:i w:val="false"/>
          <w:caps w:val="false"/>
          <w:smallCaps w:val="false"/>
          <w:sz w:val="20"/>
        </w:rPr>
        <w:t>”), rounded down to the nearest whole share based on Investor’s subscription amount, upon the terms and conditions set forth herein (the “Subscription”). The purchase price of each Share is payable in the manner provided in Section 3(a) below. The Shares being subscribed for under this Subscription Agreement and the Common Stock issuable upon the conversion of such Shares are sometimes referred to herein as the “</w:t>
      </w:r>
      <w:r>
        <w:rPr>
          <w:rFonts w:ascii="Times New Roman;Times;Serif" w:hAnsi="Times New Roman;Times;Serif"/>
          <w:b/>
          <w:i/>
          <w:caps w:val="false"/>
          <w:smallCaps w:val="false"/>
          <w:sz w:val="20"/>
        </w:rPr>
        <w:t>Securities</w:t>
      </w:r>
      <w:r>
        <w:rPr>
          <w:rFonts w:ascii="Times New Roman;Times;Serif" w:hAnsi="Times New Roman;Times;Serif"/>
          <w:b w:val="false"/>
          <w:i w:val="false"/>
          <w:caps w:val="false"/>
          <w:smallCaps w:val="false"/>
          <w:sz w:val="20"/>
        </w:rPr>
        <w:t>.” The rights and preferences of the Shares are as set forth in the Second Amended and Restated Certificate of Incorporation of the Company, available in the Exhibits to the Offering Statement of the Company filed with the SEC (the “Offering Statement”).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Investor understands that the Shares are being offered pursuant to the Offering Circular dated January , 2022 and its exhibits (the “</w:t>
      </w:r>
      <w:r>
        <w:rPr>
          <w:rFonts w:ascii="Times New Roman;Times;Serif" w:hAnsi="Times New Roman;Times;Serif"/>
          <w:b/>
          <w:i/>
          <w:caps w:val="false"/>
          <w:smallCaps w:val="false"/>
          <w:sz w:val="20"/>
        </w:rPr>
        <w:t>Offering Circular</w:t>
      </w:r>
      <w:r>
        <w:rPr>
          <w:rFonts w:ascii="Times New Roman;Times;Serif" w:hAnsi="Times New Roman;Times;Serif"/>
          <w:b w:val="false"/>
          <w:i w:val="false"/>
          <w:caps w:val="false"/>
          <w:smallCaps w:val="false"/>
          <w:sz w:val="20"/>
        </w:rPr>
        <w:t>”) as filed with the Securities and Exchange Commission (the “</w:t>
      </w:r>
      <w:r>
        <w:rPr>
          <w:rFonts w:ascii="Times New Roman;Times;Serif" w:hAnsi="Times New Roman;Times;Serif"/>
          <w:b/>
          <w:i/>
          <w:caps w:val="false"/>
          <w:smallCaps w:val="false"/>
          <w:sz w:val="20"/>
        </w:rPr>
        <w:t>SEC</w:t>
      </w:r>
      <w:r>
        <w:rPr>
          <w:rFonts w:ascii="Times New Roman;Times;Serif" w:hAnsi="Times New Roman;Times;Serif"/>
          <w:b w:val="false"/>
          <w:i w:val="false"/>
          <w:caps w:val="false"/>
          <w:smallCaps w:val="false"/>
          <w:sz w:val="20"/>
        </w:rPr>
        <w:t>”). By subscribing to the Offering, Investor acknowledges that Investor has received a copy of the Offering Statement and any other information required by Investor to make an investment decision with respect to the Shares.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This Subscription may be accepted or rejected in whole or in part, at any time prior to the Termination Date (as hereinafter defined), by the Company at its sole discretion, subject to the conditions set forth herein. In addition, the Company, at its sole discretion, may allocate to Investor only a portion of the number of the Shares that Investor has subscribed to purchase hereunder. The Company will notify Investor whether this subscription is accepted (whether in whole or in part) or rejected. If Investor’s subscription is rejected, Investor’s payment (or portion thereof if partially rejected) will be returned to Investor without interest and all of Investor’s obligations hereunder shall terminate. Tendered funds will be transmitted promptly to the Escrow Agent (as hereinafter defined), and returned promptly to Investor if the Minimum Offering (as hereinafter defined) is not met prior to the Termination Date.</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3</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The aggregate number of shares of Series A-1 Preferred that may be sold by the Company in this offering shall not exceed 5,000,000 shares (the “</w:t>
      </w:r>
      <w:r>
        <w:rPr>
          <w:rFonts w:ascii="Times New Roman;Times;Serif" w:hAnsi="Times New Roman;Times;Serif"/>
          <w:b/>
          <w:i/>
          <w:caps w:val="false"/>
          <w:smallCaps w:val="false"/>
          <w:sz w:val="20"/>
        </w:rPr>
        <w:t>Maximum Shares</w:t>
      </w:r>
      <w:r>
        <w:rPr>
          <w:rFonts w:ascii="Times New Roman;Times;Serif" w:hAnsi="Times New Roman;Times;Serif"/>
          <w:b w:val="false"/>
          <w:i w:val="false"/>
          <w:caps w:val="false"/>
          <w:smallCaps w:val="false"/>
          <w:sz w:val="20"/>
        </w:rPr>
        <w:t>”). The Company may accept subscriptions until the earlier of: 1) 12 months from the date the offering is qualified by the Securities Exchange Commission, or 2) as sooner terminated by the Company (the “</w:t>
      </w:r>
      <w:r>
        <w:rPr>
          <w:rFonts w:ascii="Times New Roman;Times;Serif" w:hAnsi="Times New Roman;Times;Serif"/>
          <w:b/>
          <w:i/>
          <w:caps w:val="false"/>
          <w:smallCaps w:val="false"/>
          <w:sz w:val="20"/>
        </w:rPr>
        <w:t>Termination Date</w:t>
      </w:r>
      <w:r>
        <w:rPr>
          <w:rFonts w:ascii="Times New Roman;Times;Serif" w:hAnsi="Times New Roman;Times;Serif"/>
          <w:b w:val="false"/>
          <w:i w:val="false"/>
          <w:caps w:val="false"/>
          <w:smallCaps w:val="false"/>
          <w:sz w:val="20"/>
        </w:rPr>
        <w:t>”). The Company may elect at any time to close all or any portion of this offering on various dates (each a “</w:t>
      </w:r>
      <w:r>
        <w:rPr>
          <w:rFonts w:ascii="Times New Roman;Times;Serif" w:hAnsi="Times New Roman;Times;Serif"/>
          <w:b/>
          <w:i/>
          <w:caps w:val="false"/>
          <w:smallCaps w:val="false"/>
          <w:sz w:val="20"/>
        </w:rPr>
        <w:t>Closing</w:t>
      </w:r>
      <w:r>
        <w:rPr>
          <w:rFonts w:ascii="Times New Roman;Times;Serif" w:hAnsi="Times New Roman;Times;Serif"/>
          <w:b w:val="false"/>
          <w:i w:val="false"/>
          <w:caps w:val="false"/>
          <w:smallCaps w:val="false"/>
          <w:sz w:val="20"/>
        </w:rPr>
        <w: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In the event of rejection of this subscription in its entirety, or in the event the sale of the Shares (or any portion thereof) to Investor is not consummated for any reason, this Subscription Agreement shall have no force or effect, except for Section 6 hereof, which shall remain in force and effect.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The terms of this Subscription Agreement shall be binding upon Investor and its transferees, heirs, successors and assigns (collectively, “</w:t>
      </w:r>
      <w:r>
        <w:rPr>
          <w:rFonts w:ascii="Times New Roman;Times;Serif" w:hAnsi="Times New Roman;Times;Serif"/>
          <w:b/>
          <w:i/>
          <w:caps w:val="false"/>
          <w:smallCaps w:val="false"/>
          <w:sz w:val="20"/>
        </w:rPr>
        <w:t>Transferees</w:t>
      </w:r>
      <w:r>
        <w:rPr>
          <w:rFonts w:ascii="Times New Roman;Times;Serif" w:hAnsi="Times New Roman;Times;Serif"/>
          <w:b w:val="false"/>
          <w:i w:val="false"/>
          <w:caps w:val="false"/>
          <w:smallCaps w:val="false"/>
          <w:sz w:val="20"/>
        </w:rPr>
        <w:t>”); provided that for any such transfer to be deemed effective, the Transferee shall have executed and delivered to the Company in advance an instrument in form acceptable to the Company in its sole discretion, pursuant to which the proposed Transferee shall be acknowledge, agree, and be bound by the representations and warranties of Investor, terms of this Subscription Agreement, and the Company consents to the transfer in its sole discretion.</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 </w:t>
      </w:r>
      <w:r>
        <w:rPr>
          <w:rFonts w:ascii="Times New Roman;Times;Serif" w:hAnsi="Times New Roman;Times;Serif"/>
          <w:b/>
          <w:i w:val="false"/>
          <w:caps w:val="false"/>
          <w:smallCaps w:val="false"/>
          <w:sz w:val="20"/>
          <w:u w:val="single"/>
        </w:rPr>
        <w:t>Joinder to Amended and Restated Stockholders’ A</w:t>
      </w:r>
      <w:r>
        <w:rPr>
          <w:rFonts w:ascii="Times New Roman;Times;Serif" w:hAnsi="Times New Roman;Times;Serif"/>
          <w:b/>
          <w:i w:val="false"/>
          <w:caps w:val="false"/>
          <w:smallCaps w:val="false"/>
          <w:sz w:val="20"/>
        </w:rPr>
        <w:t>g</w:t>
      </w:r>
      <w:r>
        <w:rPr>
          <w:rFonts w:ascii="Times New Roman;Times;Serif" w:hAnsi="Times New Roman;Times;Serif"/>
          <w:b/>
          <w:i w:val="false"/>
          <w:caps w:val="false"/>
          <w:smallCaps w:val="false"/>
          <w:sz w:val="20"/>
          <w:u w:val="single"/>
        </w:rPr>
        <w:t>reement.</w:t>
      </w:r>
      <w:r>
        <w:rPr>
          <w:rFonts w:ascii="Times New Roman;Times;Serif" w:hAnsi="Times New Roman;Times;Serif"/>
          <w:b w:val="false"/>
          <w:i w:val="false"/>
          <w:caps w:val="false"/>
          <w:smallCaps w:val="false"/>
          <w:sz w:val="20"/>
        </w:rPr>
        <w:t xml:space="preserve"> By subscribing to the Offering and executing this Subscription Agreement, Investor (and, if Investor is purchasing the Shares subscribed for hereby in a fiduciary capacity, the person or persons for whom Investor is so purchasing) hereby joins as a party that is designated as an “Investor” under the Amended and Restated Stockholders’ Agreement dated as of 2021, in substantially the form attached hereto as </w:t>
      </w:r>
      <w:r>
        <w:rPr>
          <w:rFonts w:ascii="Times New Roman;Times;Serif" w:hAnsi="Times New Roman;Times;Serif"/>
          <w:b w:val="false"/>
          <w:i w:val="false"/>
          <w:caps w:val="false"/>
          <w:smallCaps w:val="false"/>
          <w:sz w:val="20"/>
          <w:u w:val="single"/>
        </w:rPr>
        <w:t>Exhibit A</w:t>
      </w:r>
      <w:r>
        <w:rPr>
          <w:rFonts w:ascii="Times New Roman;Times;Serif" w:hAnsi="Times New Roman;Times;Serif"/>
          <w:b w:val="false"/>
          <w:i w:val="false"/>
          <w:caps w:val="false"/>
          <w:smallCaps w:val="false"/>
          <w:sz w:val="20"/>
        </w:rPr>
        <w:t xml:space="preserve"> (the “</w:t>
      </w:r>
      <w:r>
        <w:rPr>
          <w:rFonts w:ascii="Times New Roman;Times;Serif" w:hAnsi="Times New Roman;Times;Serif"/>
          <w:b/>
          <w:i/>
          <w:caps w:val="false"/>
          <w:smallCaps w:val="false"/>
          <w:sz w:val="20"/>
        </w:rPr>
        <w:t>Stockholders’ Rights Agreement</w:t>
      </w:r>
      <w:r>
        <w:rPr>
          <w:rFonts w:ascii="Times New Roman;Times;Serif" w:hAnsi="Times New Roman;Times;Serif"/>
          <w:b w:val="false"/>
          <w:i w:val="false"/>
          <w:caps w:val="false"/>
          <w:smallCaps w:val="false"/>
          <w:sz w:val="20"/>
        </w:rPr>
        <w:t>”). Any notice required or permitted to be given to Investor under the Stockholders’ Rights Agreement shall be given to Investor at the address provided with Investor’s subscription. Investor confirms that Investor has reviewed the Stockholders’ Rights Agreement and will be bound by the terms thereof as a party who is designated as an “Investor” under the Stockholders’ Rights Agreement.</w:t>
      </w:r>
    </w:p>
    <w:p>
      <w:pPr>
        <w:pStyle w:val="TextBody"/>
        <w:bidi w:val="0"/>
        <w:spacing w:before="0" w:after="0"/>
        <w:jc w:val="both"/>
        <w:rPr>
          <w:caps w:val="false"/>
          <w:smallCaps w:val="false"/>
        </w:rPr>
      </w:pPr>
      <w:r>
        <w:rPr>
          <w:caps w:val="false"/>
          <w:smallCaps w:val="false"/>
        </w:rPr>
        <w:t> </w:t>
      </w:r>
    </w:p>
    <w:p>
      <w:pPr>
        <w:pStyle w:val="TextBody"/>
        <w:bidi w:val="0"/>
        <w:spacing w:before="0" w:after="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 </w:t>
      </w:r>
      <w:r>
        <w:rPr>
          <w:rFonts w:ascii="Times New Roman;Times;Serif" w:hAnsi="Times New Roman;Times;Serif"/>
          <w:b/>
          <w:i w:val="false"/>
          <w:caps w:val="false"/>
          <w:smallCaps w:val="false"/>
          <w:sz w:val="20"/>
          <w:u w:val="single"/>
        </w:rPr>
        <w:t>Purchase Procedure</w:t>
      </w:r>
      <w:r>
        <w:rPr>
          <w:rFonts w:ascii="Times New Roman;Times;Serif" w:hAnsi="Times New Roman;Times;Serif"/>
          <w:b w:val="false"/>
          <w:i w:val="false"/>
          <w:caps w:val="false"/>
          <w:smallCaps w:val="false"/>
          <w:sz w:val="20"/>
        </w:rPr>
        <w: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w:t>
      </w:r>
      <w:r>
        <w:rPr>
          <w:rFonts w:ascii="Times New Roman;Times;Serif" w:hAnsi="Times New Roman;Times;Serif"/>
          <w:b w:val="false"/>
          <w:i w:val="false"/>
          <w:caps w:val="false"/>
          <w:smallCaps w:val="false"/>
          <w:sz w:val="20"/>
          <w:u w:val="single"/>
        </w:rPr>
        <w:t>Payment</w:t>
      </w:r>
      <w:r>
        <w:rPr>
          <w:rFonts w:ascii="Times New Roman;Times;Serif" w:hAnsi="Times New Roman;Times;Serif"/>
          <w:b w:val="false"/>
          <w:i w:val="false"/>
          <w:caps w:val="false"/>
          <w:smallCaps w:val="false"/>
          <w:sz w:val="20"/>
        </w:rPr>
        <w:t>. The purchase price for the Shares shall be paid simultaneously with Investor’s subscription.</w:t>
      </w:r>
    </w:p>
    <w:p>
      <w:pPr>
        <w:pStyle w:val="TextBody"/>
        <w:bidi w:val="0"/>
        <w:spacing w:lineRule="auto" w:line="276" w:before="0" w:after="140"/>
        <w:jc w:val="left"/>
        <w:rPr/>
      </w:pPr>
      <w:r>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4</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t>
      </w:r>
      <w:r>
        <w:rPr>
          <w:rFonts w:ascii="Times New Roman;Times;Serif" w:hAnsi="Times New Roman;Times;Serif"/>
          <w:b w:val="false"/>
          <w:i w:val="false"/>
          <w:caps w:val="false"/>
          <w:smallCaps w:val="false"/>
          <w:sz w:val="20"/>
          <w:u w:val="single"/>
        </w:rPr>
        <w:t>Escrow Arrangements</w:t>
      </w:r>
      <w:r>
        <w:rPr>
          <w:rFonts w:ascii="Times New Roman;Times;Serif" w:hAnsi="Times New Roman;Times;Serif"/>
          <w:b w:val="false"/>
          <w:i w:val="false"/>
          <w:caps w:val="false"/>
          <w:smallCaps w:val="false"/>
          <w:sz w:val="20"/>
        </w:rPr>
        <w:t>. Payment for the Shares by Investor shall be received by StartEngine Primary LLC from each Investor by ACH electronic transfer, debit card, wire transfer of immediately available funds, or other means approved by the Company, prior to a Closing in the amount of Investor’s subscription. Tendered funds will be promptly sent to the Bryn Mawr Trust Company of Delaware (the “</w:t>
      </w:r>
      <w:r>
        <w:rPr>
          <w:rFonts w:ascii="Times New Roman;Times;Serif" w:hAnsi="Times New Roman;Times;Serif"/>
          <w:b/>
          <w:i/>
          <w:caps w:val="false"/>
          <w:smallCaps w:val="false"/>
          <w:sz w:val="20"/>
        </w:rPr>
        <w:t>Escrow Agent</w:t>
      </w:r>
      <w:r>
        <w:rPr>
          <w:rFonts w:ascii="Times New Roman;Times;Serif" w:hAnsi="Times New Roman;Times;Serif"/>
          <w:b w:val="false"/>
          <w:i w:val="false"/>
          <w:caps w:val="false"/>
          <w:smallCaps w:val="false"/>
          <w:sz w:val="20"/>
        </w:rPr>
        <w:t>”) and remain in escrow until a Closing has occurred. Investments shall be transmitted promptly to the Escrow Agent in compliance with Rule 15c2-4 under the Securities Exchange Act of 1934, as amended (the “Exchange Act”). In the event that the Minimum Offering has not been met by the Termination Date, any money tendered by Investors in the offering will be promptly returned by the Escrow Agent.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Upon a successful Closing, the Escrow Agent shall release Investor’s funds to the Company. The Investor shall receive notice and evidence of the digital entry of the number of the Shares owned by Investor reflected on the books and records of the Company and verified by VStock Transfer, LLC the “</w:t>
      </w:r>
      <w:r>
        <w:rPr>
          <w:rFonts w:ascii="Times New Roman;Times;Serif" w:hAnsi="Times New Roman;Times;Serif"/>
          <w:b/>
          <w:i/>
          <w:caps w:val="false"/>
          <w:smallCaps w:val="false"/>
          <w:sz w:val="20"/>
        </w:rPr>
        <w:t>Transfer Agent</w:t>
      </w:r>
      <w:r>
        <w:rPr>
          <w:rFonts w:ascii="Times New Roman;Times;Serif" w:hAnsi="Times New Roman;Times;Serif"/>
          <w:b w:val="false"/>
          <w:i w:val="false"/>
          <w:caps w:val="false"/>
          <w:smallCaps w:val="false"/>
          <w:sz w:val="20"/>
        </w:rPr>
        <w:t>”), which books and records shall bear a notation that the Shares were sold in reliance upon Regulation A of the Securities Act. Upon written instruction by the Investor, the Transfer Agent may record the Shares beneficially owned by the Investor on the books and records of the Company in the name of any other entity as designated by the Investor.</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4. </w:t>
      </w:r>
      <w:r>
        <w:rPr>
          <w:rFonts w:ascii="Times New Roman;Times;Serif" w:hAnsi="Times New Roman;Times;Serif"/>
          <w:b/>
          <w:i w:val="false"/>
          <w:caps w:val="false"/>
          <w:smallCaps w:val="false"/>
          <w:sz w:val="20"/>
          <w:u w:val="single"/>
        </w:rPr>
        <w:t>Representations and Warranties of the Company</w:t>
      </w:r>
      <w:r>
        <w:rPr>
          <w:rFonts w:ascii="Times New Roman;Times;Serif" w:hAnsi="Times New Roman;Times;Serif"/>
          <w:b w:val="false"/>
          <w:i w:val="false"/>
          <w:caps w:val="false"/>
          <w:smallCaps w:val="false"/>
          <w:sz w:val="20"/>
        </w:rPr>
        <w:t>. The Company represents and warrants to Investor that the following representations and warranties are true and complete in all material respects as of the date of each Closing, except as otherwise indicated. For purposes of this Subscription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w:t>
      </w:r>
      <w:r>
        <w:rPr>
          <w:rFonts w:ascii="Times New Roman;Times;Serif" w:hAnsi="Times New Roman;Times;Serif"/>
          <w:b w:val="false"/>
          <w:i w:val="false"/>
          <w:caps w:val="false"/>
          <w:smallCaps w:val="false"/>
          <w:sz w:val="20"/>
          <w:u w:val="single"/>
        </w:rPr>
        <w:t>Organization and Standing</w:t>
      </w:r>
      <w:r>
        <w:rPr>
          <w:rFonts w:ascii="Times New Roman;Times;Serif" w:hAnsi="Times New Roman;Times;Serif"/>
          <w:b w:val="false"/>
          <w:i w:val="false"/>
          <w:caps w:val="false"/>
          <w:smallCaps w:val="false"/>
          <w:sz w:val="20"/>
        </w:rPr>
        <w:t>. The Company is a corporation duly formed, validly existing and in good standing under the laws of the State of Delaware. The Company has all requisite power and authority to own and operate its properties and assets, to execute and deliver this Subscription Agreement, the Shares and any other agreements or instruments required hereunder.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t>
      </w:r>
      <w:r>
        <w:rPr>
          <w:rFonts w:ascii="Times New Roman;Times;Serif" w:hAnsi="Times New Roman;Times;Serif"/>
          <w:b w:val="false"/>
          <w:i w:val="false"/>
          <w:caps w:val="false"/>
          <w:smallCaps w:val="false"/>
          <w:sz w:val="20"/>
          <w:u w:val="single"/>
        </w:rPr>
        <w:t>Issuance of the Shares</w:t>
      </w:r>
      <w:r>
        <w:rPr>
          <w:rFonts w:ascii="Times New Roman;Times;Serif" w:hAnsi="Times New Roman;Times;Serif"/>
          <w:b w:val="false"/>
          <w:i w:val="false"/>
          <w:caps w:val="false"/>
          <w:smallCaps w:val="false"/>
          <w:sz w:val="20"/>
        </w:rPr>
        <w:t>. The issuance, sale and delivery of the Shares in accordance with this Subscription Agreement have been duly authorized by all necessary corporate action on the part of the Company. The Shares, when issued, sold and delivered against payment therefor in accordance with the provisions of this Subscription Agreement, will be duly and validly issued, fully paid and non- assessable.</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5</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w:t>
      </w:r>
      <w:r>
        <w:rPr>
          <w:rFonts w:ascii="Times New Roman;Times;Serif" w:hAnsi="Times New Roman;Times;Serif"/>
          <w:b w:val="false"/>
          <w:i w:val="false"/>
          <w:caps w:val="false"/>
          <w:smallCaps w:val="false"/>
          <w:sz w:val="20"/>
          <w:u w:val="single"/>
        </w:rPr>
        <w:t>Authority for Agreement</w:t>
      </w:r>
      <w:r>
        <w:rPr>
          <w:rFonts w:ascii="Times New Roman;Times;Serif" w:hAnsi="Times New Roman;Times;Serif"/>
          <w:b w:val="false"/>
          <w:i w:val="false"/>
          <w:caps w:val="false"/>
          <w:smallCaps w:val="false"/>
          <w:sz w:val="20"/>
        </w:rPr>
        <w:t>. The acceptance by the Company of this Subscription Agreement and of Investor’s joinder as a party to the Stockholders’ Rights Agreement, and the consummation of the transactions contemplated hereby and thereby, are within the Company’s powers and have been duly authorized by all necessary corporate action on the part of the Company. Upon the Company’s acceptance of this Subscription Agreement, this Subscription Agreement and the Stockholders’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w:t>
      </w:r>
      <w:r>
        <w:rPr>
          <w:rFonts w:ascii="Times New Roman;Times;Serif" w:hAnsi="Times New Roman;Times;Serif"/>
          <w:b w:val="false"/>
          <w:i w:val="false"/>
          <w:caps w:val="false"/>
          <w:smallCaps w:val="false"/>
          <w:sz w:val="20"/>
          <w:u w:val="single"/>
        </w:rPr>
        <w:t>No Filings</w:t>
      </w:r>
      <w:r>
        <w:rPr>
          <w:rFonts w:ascii="Times New Roman;Times;Serif" w:hAnsi="Times New Roman;Times;Serif"/>
          <w:b w:val="false"/>
          <w:i w:val="false"/>
          <w:caps w:val="false"/>
          <w:smallCaps w:val="false"/>
          <w:sz w:val="20"/>
        </w:rPr>
        <w:t>. Assuming the accuracy of Investor’s representations and warranties set forth in Section 5 hereof, no order, license, consent, authorization or approval of, or exemption by, or action by or in respect of, or notice to, or filing or registration with, any governmental body, agency or official is required by or with respect to the Company in connection with the acceptance, delivery and performance by the Company of this Subscription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w:t>
      </w:r>
      <w:r>
        <w:rPr>
          <w:rFonts w:ascii="Times New Roman;Times;Serif" w:hAnsi="Times New Roman;Times;Serif"/>
          <w:b w:val="false"/>
          <w:i w:val="false"/>
          <w:caps w:val="false"/>
          <w:smallCaps w:val="false"/>
          <w:sz w:val="20"/>
          <w:u w:val="single"/>
        </w:rPr>
        <w:t>Capitalization</w:t>
      </w:r>
      <w:r>
        <w:rPr>
          <w:rFonts w:ascii="Times New Roman;Times;Serif" w:hAnsi="Times New Roman;Times;Serif"/>
          <w:b w:val="false"/>
          <w:i w:val="false"/>
          <w:caps w:val="false"/>
          <w:smallCaps w:val="false"/>
          <w:sz w:val="20"/>
        </w:rPr>
        <w:t>. The outstanding shares of Common Stock, Series Preferred Stock, options, warrants and other securities of the Company immediately prior to the initial Closing is as set forth in “</w:t>
      </w:r>
      <w:r>
        <w:rPr>
          <w:rFonts w:ascii="Times New Roman;Times;Serif" w:hAnsi="Times New Roman;Times;Serif"/>
          <w:b/>
          <w:i/>
          <w:caps w:val="false"/>
          <w:smallCaps w:val="false"/>
          <w:sz w:val="20"/>
        </w:rPr>
        <w:t>Security Being Offered</w:t>
      </w:r>
      <w:r>
        <w:rPr>
          <w:rFonts w:ascii="Times New Roman;Times;Serif" w:hAnsi="Times New Roman;Times;Serif"/>
          <w:b w:val="false"/>
          <w:i w:val="false"/>
          <w:caps w:val="false"/>
          <w:smallCaps w:val="false"/>
          <w:sz w:val="20"/>
        </w:rPr>
        <w:t>”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securities.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(f) </w:t>
      </w:r>
      <w:r>
        <w:rPr>
          <w:rFonts w:ascii="Times New Roman;Times;Serif" w:hAnsi="Times New Roman;Times;Serif"/>
          <w:b w:val="false"/>
          <w:i w:val="false"/>
          <w:caps w:val="false"/>
          <w:smallCaps w:val="false"/>
          <w:sz w:val="20"/>
          <w:u w:val="single"/>
        </w:rPr>
        <w:t>Financial Statements</w:t>
      </w:r>
      <w:r>
        <w:rPr>
          <w:rFonts w:ascii="Times New Roman;Times;Serif" w:hAnsi="Times New Roman;Times;Serif"/>
          <w:b w:val="false"/>
          <w:i w:val="false"/>
          <w:caps w:val="false"/>
          <w:smallCaps w:val="false"/>
          <w:sz w:val="20"/>
        </w:rPr>
        <w:t>. Complete copies of the Company’s financial statements, consisting of the statement of financial position of the Company as of its fiscal year end on December 31, 2020 and December 31, 2019, and the related consolidated statements of income and cash flows for the respective periods then ended (collectively, the “</w:t>
      </w:r>
      <w:r>
        <w:rPr>
          <w:rFonts w:ascii="Times New Roman;Times;Serif" w:hAnsi="Times New Roman;Times;Serif"/>
          <w:b/>
          <w:i/>
          <w:caps w:val="false"/>
          <w:smallCaps w:val="false"/>
          <w:sz w:val="20"/>
        </w:rPr>
        <w:t>Financial Statements</w:t>
      </w:r>
      <w:r>
        <w:rPr>
          <w:rFonts w:ascii="Times New Roman;Times;Serif" w:hAnsi="Times New Roman;Times;Serif"/>
          <w:b w:val="false"/>
          <w:i w:val="false"/>
          <w:caps w:val="false"/>
          <w:smallCaps w:val="false"/>
          <w:sz w:val="20"/>
        </w:rPr>
        <w:t>”), have been made available to Investor and appear in the Offering Circular. The Financial Statements are based on the books and records of the Company and fairly present the financial condition of the Company as of the respective dates they were prepared and the results of the operations and cash flows of the Company for the respective periods indicated. Fruci &amp; Associates II, PLLC, which has audited the Financial Statements at December 31, 2020 and December 31, 2019, and for each fiscal year then ended, is an independent accounting firm within the rules and regulations adopted by the SEC.</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(g) </w:t>
      </w:r>
      <w:r>
        <w:rPr>
          <w:rFonts w:ascii="Times New Roman;Times;Serif" w:hAnsi="Times New Roman;Times;Serif"/>
          <w:b w:val="false"/>
          <w:i w:val="false"/>
          <w:caps w:val="false"/>
          <w:smallCaps w:val="false"/>
          <w:sz w:val="20"/>
          <w:u w:val="single"/>
        </w:rPr>
        <w:t>Proceeds</w:t>
      </w:r>
      <w:r>
        <w:rPr>
          <w:rFonts w:ascii="Times New Roman;Times;Serif" w:hAnsi="Times New Roman;Times;Serif"/>
          <w:b w:val="false"/>
          <w:i w:val="false"/>
          <w:caps w:val="false"/>
          <w:smallCaps w:val="false"/>
          <w:sz w:val="20"/>
        </w:rPr>
        <w:t>. The Company shall use the proceeds from the issuance and sale of the shares of Series A-1 Preferred sold in the offering as set forth in “</w:t>
      </w:r>
      <w:r>
        <w:rPr>
          <w:rFonts w:ascii="Times New Roman;Times;Serif" w:hAnsi="Times New Roman;Times;Serif"/>
          <w:b/>
          <w:i/>
          <w:caps w:val="false"/>
          <w:smallCaps w:val="false"/>
          <w:sz w:val="20"/>
        </w:rPr>
        <w:t>Use of Proceeds</w:t>
      </w:r>
      <w:r>
        <w:rPr>
          <w:rFonts w:ascii="Times New Roman;Times;Serif" w:hAnsi="Times New Roman;Times;Serif"/>
          <w:b w:val="false"/>
          <w:i w:val="false"/>
          <w:caps w:val="false"/>
          <w:smallCaps w:val="false"/>
          <w:sz w:val="20"/>
        </w:rPr>
        <w:t>” in the Offering Circular.</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6</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(h) </w:t>
      </w:r>
      <w:r>
        <w:rPr>
          <w:rFonts w:ascii="Times New Roman;Times;Serif" w:hAnsi="Times New Roman;Times;Serif"/>
          <w:b w:val="false"/>
          <w:i w:val="false"/>
          <w:caps w:val="false"/>
          <w:smallCaps w:val="false"/>
          <w:sz w:val="20"/>
          <w:u w:val="single"/>
        </w:rPr>
        <w:t>Liti</w:t>
      </w:r>
      <w:r>
        <w:rPr>
          <w:rFonts w:ascii="Times New Roman;Times;Serif" w:hAnsi="Times New Roman;Times;Serif"/>
          <w:b w:val="false"/>
          <w:i w:val="false"/>
          <w:caps w:val="false"/>
          <w:smallCaps w:val="false"/>
          <w:sz w:val="20"/>
        </w:rPr>
        <w:t>g</w:t>
      </w:r>
      <w:r>
        <w:rPr>
          <w:rFonts w:ascii="Times New Roman;Times;Serif" w:hAnsi="Times New Roman;Times;Serif"/>
          <w:b w:val="false"/>
          <w:i w:val="false"/>
          <w:caps w:val="false"/>
          <w:smallCaps w:val="false"/>
          <w:sz w:val="20"/>
          <w:u w:val="single"/>
        </w:rPr>
        <w:t>ation</w:t>
      </w:r>
      <w:r>
        <w:rPr>
          <w:rFonts w:ascii="Times New Roman;Times;Serif" w:hAnsi="Times New Roman;Times;Serif"/>
          <w:b w:val="false"/>
          <w:i w:val="false"/>
          <w:caps w:val="false"/>
          <w:smallCaps w:val="false"/>
          <w:sz w:val="20"/>
        </w:rPr>
        <w:t>. Except as disclosed in the Offering Circular, there is no pending action, suit, proceeding, arbitration, mediation, complaint, claim, charge or investigation before any court, arbitrator, mediator or governmental body, or to the Company’s knowledge, currently threatened in writing (a) against the Company or (b) to the Company’s knowledge, against any consultant, officer, manager, director or key employee of the Company arising out of his or her consulting, employment or board relationship with the Company or that could otherwise materially impact the Company.</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 </w:t>
      </w:r>
      <w:r>
        <w:rPr>
          <w:rFonts w:ascii="Times New Roman;Times;Serif" w:hAnsi="Times New Roman;Times;Serif"/>
          <w:b/>
          <w:i w:val="false"/>
          <w:caps w:val="false"/>
          <w:smallCaps w:val="false"/>
          <w:sz w:val="20"/>
          <w:u w:val="single"/>
        </w:rPr>
        <w:t>Representations and Warranties of Investor</w:t>
      </w:r>
      <w:r>
        <w:rPr>
          <w:rFonts w:ascii="Times New Roman;Times;Serif" w:hAnsi="Times New Roman;Times;Serif"/>
          <w:b w:val="false"/>
          <w:i w:val="false"/>
          <w:caps w:val="false"/>
          <w:smallCaps w:val="false"/>
          <w:sz w:val="20"/>
        </w:rPr>
        <w:t>. By subscribing to the Offering, Investor (and, if Investor is purchasing the Shares subscribed for hereby in a fiduciary capacity, the person or persons for whom Investor is so purchasing) represents and warrants, which representations and warranties are true and complete in all material respects as of the date of each Closing:</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w:t>
      </w:r>
      <w:r>
        <w:rPr>
          <w:rFonts w:ascii="Times New Roman;Times;Serif" w:hAnsi="Times New Roman;Times;Serif"/>
          <w:b w:val="false"/>
          <w:i w:val="false"/>
          <w:caps w:val="false"/>
          <w:smallCaps w:val="false"/>
          <w:sz w:val="20"/>
          <w:u w:val="single"/>
        </w:rPr>
        <w:t>Requisite Power and Authority</w:t>
      </w:r>
      <w:r>
        <w:rPr>
          <w:rFonts w:ascii="Times New Roman;Times;Serif" w:hAnsi="Times New Roman;Times;Serif"/>
          <w:b w:val="false"/>
          <w:i w:val="false"/>
          <w:caps w:val="false"/>
          <w:smallCaps w:val="false"/>
          <w:sz w:val="20"/>
        </w:rPr>
        <w:t>. Investor has all necessary power and authority under all applicable provisions of law to subscribe to the Offering, to execute and deliver this Subscription Agreement, to join as a party to the Stockholders’ Agreement and to carry out the provisions of such respective agreements. All action on Investor’s part required for the lawful subscription to the offering have been or will be effectively taken prior to the Closing. Upon subscribing to the Offering, this Subscription Agreement and the Stockholders’ Rights Agreement will be valid and binding obligations of Investor, enforceable in accordance with their respective terms, except (i) as limited by applicable bankruptcy, insolvency, reorganization, moratorium or other laws of general application affecting enforcement of creditors’ rights and (ii) as limited by general principles of equity that restrict the availability of equitable remedies.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t>
      </w:r>
      <w:r>
        <w:rPr>
          <w:rFonts w:ascii="Times New Roman;Times;Serif" w:hAnsi="Times New Roman;Times;Serif"/>
          <w:b w:val="false"/>
          <w:i w:val="false"/>
          <w:caps w:val="false"/>
          <w:smallCaps w:val="false"/>
          <w:sz w:val="20"/>
          <w:u w:val="single"/>
        </w:rPr>
        <w:t>Company Information</w:t>
      </w:r>
      <w:r>
        <w:rPr>
          <w:rFonts w:ascii="Times New Roman;Times;Serif" w:hAnsi="Times New Roman;Times;Serif"/>
          <w:b w:val="false"/>
          <w:i w:val="false"/>
          <w:caps w:val="false"/>
          <w:smallCaps w:val="false"/>
          <w:sz w:val="20"/>
        </w:rPr>
        <w:t>. Investor has had such opportunity as Investor deems necessary (which opportunity may have presented through online chat or commentary functions) to discuss the Company’s business, management and financial affairs with managers, officers and management of the Company and has had the opportunity to review the Company’s operations and facilities. Investor has also had the opportunity to ask questions of and receive answers from the Company and its management regarding the terms and conditions of this investment. Investor acknowledges that except as set forth herein and in the Offering Circular, no representations or warranties have been made to Investor, or to Investor’s advisors or representative, by the Company or others with respect to the business or prospects of the Company or its financial condition.</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w:t>
      </w:r>
      <w:r>
        <w:rPr>
          <w:rFonts w:ascii="Times New Roman;Times;Serif" w:hAnsi="Times New Roman;Times;Serif"/>
          <w:b w:val="false"/>
          <w:i w:val="false"/>
          <w:caps w:val="false"/>
          <w:smallCaps w:val="false"/>
          <w:sz w:val="20"/>
          <w:u w:val="single"/>
        </w:rPr>
        <w:t>Investment Experience</w:t>
      </w:r>
      <w:r>
        <w:rPr>
          <w:rFonts w:ascii="Times New Roman;Times;Serif" w:hAnsi="Times New Roman;Times;Serif"/>
          <w:b w:val="false"/>
          <w:i w:val="false"/>
          <w:caps w:val="false"/>
          <w:smallCaps w:val="false"/>
          <w:sz w:val="20"/>
        </w:rPr>
        <w:t>. Investor has sufficient experience in financial and business matters to be capable of utilizing such information to evaluate the merits and risks of Investor’s investment in the Shares, and to make an informed decision relating thereto; or Investor has utilized the services of a purchaser representative and together they have sufficient experience in financial and business matters that they are capable of utilizing such information to evaluate the merits and risks of Investor’s investment in the Shares, and to make an informed decision relating thereto.</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w:t>
      </w:r>
      <w:r>
        <w:rPr>
          <w:rFonts w:ascii="Times New Roman;Times;Serif" w:hAnsi="Times New Roman;Times;Serif"/>
          <w:b w:val="false"/>
          <w:i w:val="false"/>
          <w:caps w:val="false"/>
          <w:smallCaps w:val="false"/>
          <w:sz w:val="20"/>
          <w:u w:val="single"/>
        </w:rPr>
        <w:t>Investor Determination of Suitabilit</w:t>
      </w:r>
      <w:r>
        <w:rPr>
          <w:rFonts w:ascii="Times New Roman;Times;Serif" w:hAnsi="Times New Roman;Times;Serif"/>
          <w:b w:val="false"/>
          <w:i w:val="false"/>
          <w:caps w:val="false"/>
          <w:smallCaps w:val="false"/>
          <w:sz w:val="20"/>
        </w:rPr>
        <w:t>y. Investor has evaluated the risks of an investment in the Shares, including those described in the section of the Offering Circular captioned “</w:t>
      </w:r>
      <w:r>
        <w:rPr>
          <w:rFonts w:ascii="Times New Roman;Times;Serif" w:hAnsi="Times New Roman;Times;Serif"/>
          <w:b/>
          <w:i/>
          <w:caps w:val="false"/>
          <w:smallCaps w:val="false"/>
          <w:sz w:val="20"/>
        </w:rPr>
        <w:t>Risk Factors</w:t>
      </w:r>
      <w:r>
        <w:rPr>
          <w:rFonts w:ascii="Times New Roman;Times;Serif" w:hAnsi="Times New Roman;Times;Serif"/>
          <w:b w:val="false"/>
          <w:i w:val="false"/>
          <w:caps w:val="false"/>
          <w:smallCaps w:val="false"/>
          <w:sz w:val="20"/>
        </w:rPr>
        <w:t>”, and has determined that the investment is suitable for Investor. Investor has adequate financial resources for an investment of this character, and at this time Investor could bear a complete loss of Investor’s investment in the Company.</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7</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w:t>
      </w:r>
      <w:r>
        <w:rPr>
          <w:rFonts w:ascii="Times New Roman;Times;Serif" w:hAnsi="Times New Roman;Times;Serif"/>
          <w:b w:val="false"/>
          <w:i w:val="false"/>
          <w:caps w:val="false"/>
          <w:smallCaps w:val="false"/>
          <w:sz w:val="20"/>
          <w:u w:val="single"/>
        </w:rPr>
        <w:t>No Re</w:t>
      </w:r>
      <w:r>
        <w:rPr>
          <w:rFonts w:ascii="Times New Roman;Times;Serif" w:hAnsi="Times New Roman;Times;Serif"/>
          <w:b w:val="false"/>
          <w:i w:val="false"/>
          <w:caps w:val="false"/>
          <w:smallCaps w:val="false"/>
          <w:sz w:val="20"/>
        </w:rPr>
        <w:t>g</w:t>
      </w:r>
      <w:r>
        <w:rPr>
          <w:rFonts w:ascii="Times New Roman;Times;Serif" w:hAnsi="Times New Roman;Times;Serif"/>
          <w:b w:val="false"/>
          <w:i w:val="false"/>
          <w:caps w:val="false"/>
          <w:smallCaps w:val="false"/>
          <w:sz w:val="20"/>
          <w:u w:val="single"/>
        </w:rPr>
        <w:t>istration</w:t>
      </w:r>
      <w:r>
        <w:rPr>
          <w:rFonts w:ascii="Times New Roman;Times;Serif" w:hAnsi="Times New Roman;Times;Serif"/>
          <w:b w:val="false"/>
          <w:i w:val="false"/>
          <w:caps w:val="false"/>
          <w:smallCaps w:val="false"/>
          <w:sz w:val="20"/>
        </w:rPr>
        <w:t>. Investor understands that the Shares are not being registered under the Securities Act of 1933, as amended (the “</w:t>
      </w:r>
      <w:r>
        <w:rPr>
          <w:rFonts w:ascii="Times New Roman;Times;Serif" w:hAnsi="Times New Roman;Times;Serif"/>
          <w:b/>
          <w:i/>
          <w:caps w:val="false"/>
          <w:smallCaps w:val="false"/>
          <w:sz w:val="20"/>
        </w:rPr>
        <w:t>Securities Act</w:t>
      </w:r>
      <w:r>
        <w:rPr>
          <w:rFonts w:ascii="Times New Roman;Times;Serif" w:hAnsi="Times New Roman;Times;Serif"/>
          <w:b w:val="false"/>
          <w:i w:val="false"/>
          <w:caps w:val="false"/>
          <w:smallCaps w:val="false"/>
          <w:sz w:val="20"/>
        </w:rPr>
        <w:t>”), on the ground that the issuance thereof is exempt under Regulation A of Section 3(b) of the Securities Act, and that reliance on such exemption is predicated in part on the truth and accuracy of Investor’s representations and warranties, and those of the other purchasers of the shares of Series A-1 Preferred in the offering. Investor further understands that the Shares are not being registered under the securities laws of any states on the basis that the issuance thereof is exempt as an offer and sale not involving a registerable public offering in such state, since the Shares are “covered securities” under the National Securities Market Improvement Act of 1996. Investor covenants not to sell, transfer or otherwise dispose of any Shares unless such Shares have been registered under the Securities Act and under applicable state securities laws, or exemptions from such registration requirements are available.</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(f) </w:t>
      </w:r>
      <w:r>
        <w:rPr>
          <w:rFonts w:ascii="Times New Roman;Times;Serif" w:hAnsi="Times New Roman;Times;Serif"/>
          <w:b w:val="false"/>
          <w:i w:val="false"/>
          <w:caps w:val="false"/>
          <w:smallCaps w:val="false"/>
          <w:sz w:val="20"/>
          <w:u w:val="single"/>
        </w:rPr>
        <w:t>Illiquidity and Continued Economic Risk</w:t>
      </w:r>
      <w:r>
        <w:rPr>
          <w:rFonts w:ascii="Times New Roman;Times;Serif" w:hAnsi="Times New Roman;Times;Serif"/>
          <w:b w:val="false"/>
          <w:i w:val="false"/>
          <w:caps w:val="false"/>
          <w:smallCaps w:val="false"/>
          <w:sz w:val="20"/>
        </w:rPr>
        <w:t>. Investor acknowledges and agrees that there is no ready public market for the Shares and that there is no guarantee that a market for their resale will ever exist. The Company has no obligation to list any of the Shares on any market or take any steps (including registration under the Securities Act or the Exchange Act) with respect to facilitating trading or resale of the Shares. Investor must bear the economic risk of this investment indefinitely and Investor acknowledges that Investor is able to bear the economic risk of losing Investor’s entire investment in the Shares.</w:t>
      </w:r>
    </w:p>
    <w:p>
      <w:pPr>
        <w:pStyle w:val="TextBody"/>
        <w:bidi w:val="0"/>
        <w:spacing w:before="0" w:after="0"/>
        <w:ind w:left="0" w:right="0" w:firstLine="72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(g) </w:t>
      </w:r>
      <w:r>
        <w:rPr>
          <w:rFonts w:ascii="Times New Roman;Times;Serif" w:hAnsi="Times New Roman;Times;Serif"/>
          <w:b w:val="false"/>
          <w:i w:val="false"/>
          <w:caps w:val="false"/>
          <w:smallCaps w:val="false"/>
          <w:sz w:val="20"/>
          <w:u w:val="single"/>
        </w:rPr>
        <w:t>Accredited Investor Status or Investment Limits</w:t>
      </w:r>
      <w:r>
        <w:rPr>
          <w:rFonts w:ascii="Times New Roman;Times;Serif" w:hAnsi="Times New Roman;Times;Serif"/>
          <w:b w:val="false"/>
          <w:i w:val="false"/>
          <w:caps w:val="false"/>
          <w:smallCaps w:val="false"/>
          <w:sz w:val="20"/>
        </w:rPr>
        <w:t>. Investor represents that either:</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Investor is an “accredited investor” within the meaning of Rule 501 of Regulation D under the Securities Act; or</w:t>
      </w:r>
    </w:p>
    <w:p>
      <w:pPr>
        <w:pStyle w:val="TextBody"/>
        <w:bidi w:val="0"/>
        <w:spacing w:before="0" w:after="0"/>
        <w:ind w:left="0" w:right="0" w:firstLine="1440"/>
        <w:jc w:val="both"/>
        <w:rPr>
          <w:caps w:val="false"/>
          <w:smallCaps w:val="false"/>
        </w:rPr>
      </w:pPr>
      <w:r>
        <w:rPr>
          <w:caps w:val="false"/>
          <w:smallCaps w:val="false"/>
        </w:rPr>
        <w:t> </w:t>
      </w:r>
    </w:p>
    <w:p>
      <w:pPr>
        <w:pStyle w:val="TextBody"/>
        <w:bidi w:val="0"/>
        <w:spacing w:before="0" w:after="0"/>
        <w:ind w:left="72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The purchase price, together with any other amounts previously used to purchase Shares in this offering, does not exceed 10% of the greater of Investor’s annual income or net worth (or in the case where Investor is a non-natural person, their revenue or net assets for such Investor’s most recently completed fiscal year end).</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Investor represents that to the extent it has any questions with respect to its status as an accredited investor, or the application of the investment limits, it has sought professional advice.</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(h) </w:t>
      </w:r>
      <w:r>
        <w:rPr>
          <w:rFonts w:ascii="Times New Roman;Times;Serif" w:hAnsi="Times New Roman;Times;Serif"/>
          <w:b w:val="false"/>
          <w:i w:val="false"/>
          <w:caps w:val="false"/>
          <w:smallCaps w:val="false"/>
          <w:sz w:val="20"/>
          <w:u w:val="single"/>
        </w:rPr>
        <w:t>Stockholder Information</w:t>
      </w:r>
      <w:r>
        <w:rPr>
          <w:rFonts w:ascii="Times New Roman;Times;Serif" w:hAnsi="Times New Roman;Times;Serif"/>
          <w:b w:val="false"/>
          <w:i w:val="false"/>
          <w:caps w:val="false"/>
          <w:smallCaps w:val="false"/>
          <w:sz w:val="20"/>
        </w:rPr>
        <w:t>. Within five days after receipt of a request from the Company, Investor hereby agrees to provide such information with respect to its status as a stockholder (or potential stockholder) and to execute and deliver such documents as may reasonably be necessary to comply with any and all laws and regulations to which the Company is or may become subject, including, without limitation, the need to determine the accredited status of the Company’s stockholders. Investor further agrees that in the event it transfers any Securities, it will require the transferee of such Securities to agree to provide such information to the Company as a condition of such transfer.</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w:t>
      </w:r>
      <w:r>
        <w:rPr>
          <w:rFonts w:ascii="Times New Roman;Times;Serif" w:hAnsi="Times New Roman;Times;Serif"/>
          <w:b w:val="false"/>
          <w:i w:val="false"/>
          <w:caps w:val="false"/>
          <w:smallCaps w:val="false"/>
          <w:sz w:val="20"/>
          <w:u w:val="single"/>
        </w:rPr>
        <w:t>Valuation</w:t>
      </w:r>
      <w:r>
        <w:rPr>
          <w:rFonts w:ascii="Times New Roman;Times;Serif" w:hAnsi="Times New Roman;Times;Serif"/>
          <w:b w:val="false"/>
          <w:i w:val="false"/>
          <w:caps w:val="false"/>
          <w:smallCaps w:val="false"/>
          <w:sz w:val="20"/>
        </w:rPr>
        <w:t>. Investor acknowledges that the price of the shares of Series A-1 Preferred to be sold in this offering was set by the Company on the basis of the Company’s internal valuation and no warranties are made as to value. Investor further acknowledges that future offerings of securities of the Company may be made at lower valuations, with the result that Investor’s investment will bear a lower valuation.</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8</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(j) </w:t>
      </w:r>
      <w:r>
        <w:rPr>
          <w:rFonts w:ascii="Times New Roman;Times;Serif" w:hAnsi="Times New Roman;Times;Serif"/>
          <w:b w:val="false"/>
          <w:i w:val="false"/>
          <w:caps w:val="false"/>
          <w:smallCaps w:val="false"/>
          <w:sz w:val="20"/>
          <w:u w:val="single"/>
        </w:rPr>
        <w:t>Domicile</w:t>
      </w:r>
      <w:r>
        <w:rPr>
          <w:rFonts w:ascii="Times New Roman;Times;Serif" w:hAnsi="Times New Roman;Times;Serif"/>
          <w:b w:val="false"/>
          <w:i w:val="false"/>
          <w:caps w:val="false"/>
          <w:smallCaps w:val="false"/>
          <w:sz w:val="20"/>
        </w:rPr>
        <w:t>. Investor maintains Investor’s domicile (and is not a transient or temporary resident) at the address provided with Investors subscription.</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(k) </w:t>
      </w:r>
      <w:r>
        <w:rPr>
          <w:rFonts w:ascii="Times New Roman;Times;Serif" w:hAnsi="Times New Roman;Times;Serif"/>
          <w:b w:val="false"/>
          <w:i w:val="false"/>
          <w:caps w:val="false"/>
          <w:smallCaps w:val="false"/>
          <w:sz w:val="20"/>
          <w:u w:val="single"/>
        </w:rPr>
        <w:t>Forei</w:t>
      </w:r>
      <w:r>
        <w:rPr>
          <w:rFonts w:ascii="Times New Roman;Times;Serif" w:hAnsi="Times New Roman;Times;Serif"/>
          <w:b w:val="false"/>
          <w:i w:val="false"/>
          <w:caps w:val="false"/>
          <w:smallCaps w:val="false"/>
          <w:sz w:val="20"/>
        </w:rPr>
        <w:t>g</w:t>
      </w:r>
      <w:r>
        <w:rPr>
          <w:rFonts w:ascii="Times New Roman;Times;Serif" w:hAnsi="Times New Roman;Times;Serif"/>
          <w:b w:val="false"/>
          <w:i w:val="false"/>
          <w:caps w:val="false"/>
          <w:smallCaps w:val="false"/>
          <w:sz w:val="20"/>
          <w:u w:val="single"/>
        </w:rPr>
        <w:t>n Investors</w:t>
      </w:r>
      <w:r>
        <w:rPr>
          <w:rFonts w:ascii="Times New Roman;Times;Serif" w:hAnsi="Times New Roman;Times;Serif"/>
          <w:b w:val="false"/>
          <w:i w:val="false"/>
          <w:caps w:val="false"/>
          <w:smallCaps w:val="false"/>
          <w:sz w:val="20"/>
        </w:rPr>
        <w:t>. If Investor is not a United States person (as defined by Section 7701(a)(30) of the Internal Revenue Code of 1986, as amended), Investor hereby represents that it has satisfied itself as to the full observance of the laws of its jurisdiction in connection with any invitation to subscribe for the Shares or any use of this Subscription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Investor’s subscription and payment for and continued beneficial ownership of the Shares will not violate any applicable securities or other laws of Investor’s jurisdiction.</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 </w:t>
      </w:r>
      <w:r>
        <w:rPr>
          <w:rFonts w:ascii="Times New Roman;Times;Serif" w:hAnsi="Times New Roman;Times;Serif"/>
          <w:b/>
          <w:i w:val="false"/>
          <w:caps w:val="false"/>
          <w:smallCaps w:val="false"/>
          <w:sz w:val="20"/>
          <w:u w:val="single"/>
        </w:rPr>
        <w:t>Indemnity</w:t>
      </w:r>
      <w:r>
        <w:rPr>
          <w:rFonts w:ascii="Times New Roman;Times;Serif" w:hAnsi="Times New Roman;Times;Serif"/>
          <w:b w:val="false"/>
          <w:i w:val="false"/>
          <w:caps w:val="false"/>
          <w:smallCaps w:val="false"/>
          <w:sz w:val="20"/>
        </w:rPr>
        <w:t>. The representations, warranties and covenants made by Investor herein shall survive the closing of this Subscription Agreement. Investor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Investor to comply with any covenant or agreement made by Investor herein or in any other document furnished by Investor to any of the foregoing in connection with this transaction.</w:t>
      </w:r>
    </w:p>
    <w:p>
      <w:pPr>
        <w:pStyle w:val="TextBody"/>
        <w:bidi w:val="0"/>
        <w:spacing w:before="0" w:after="0"/>
        <w:jc w:val="both"/>
        <w:rPr>
          <w:caps w:val="false"/>
          <w:smallCaps w:val="false"/>
        </w:rPr>
      </w:pPr>
      <w:r>
        <w:rPr>
          <w:caps w:val="false"/>
          <w:smallCaps w:val="false"/>
        </w:rPr>
        <w:t> </w:t>
      </w:r>
    </w:p>
    <w:p>
      <w:pPr>
        <w:pStyle w:val="TextBody"/>
        <w:bidi w:val="0"/>
        <w:spacing w:before="0" w:after="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7. </w:t>
      </w:r>
      <w:r>
        <w:rPr>
          <w:rFonts w:ascii="Times New Roman;Times;Serif" w:hAnsi="Times New Roman;Times;Serif"/>
          <w:b/>
          <w:i w:val="false"/>
          <w:caps w:val="false"/>
          <w:smallCaps w:val="false"/>
          <w:sz w:val="20"/>
          <w:u w:val="single"/>
        </w:rPr>
        <w:t>Governin</w:t>
      </w:r>
      <w:r>
        <w:rPr>
          <w:rFonts w:ascii="Times New Roman;Times;Serif" w:hAnsi="Times New Roman;Times;Serif"/>
          <w:b/>
          <w:i w:val="false"/>
          <w:caps w:val="false"/>
          <w:smallCaps w:val="false"/>
          <w:sz w:val="20"/>
        </w:rPr>
        <w:t xml:space="preserve">g </w:t>
      </w:r>
      <w:r>
        <w:rPr>
          <w:rFonts w:ascii="Times New Roman;Times;Serif" w:hAnsi="Times New Roman;Times;Serif"/>
          <w:b/>
          <w:i w:val="false"/>
          <w:caps w:val="false"/>
          <w:smallCaps w:val="false"/>
          <w:sz w:val="20"/>
          <w:u w:val="single"/>
        </w:rPr>
        <w:t>Law; Jurisdiction</w:t>
      </w:r>
      <w:r>
        <w:rPr>
          <w:rFonts w:ascii="Times New Roman;Times;Serif" w:hAnsi="Times New Roman;Times;Serif"/>
          <w:b w:val="false"/>
          <w:i w:val="false"/>
          <w:caps w:val="false"/>
          <w:smallCaps w:val="false"/>
          <w:sz w:val="20"/>
        </w:rPr>
        <w:t>. This Subscription Agreement shall be governed and construed in accordance with the laws of the State of New York.</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EACH OF INVESTOR AND THE COMPANY CONSENTS TO THE JURISDICTION OF ANY STATE OR FEDERAL COURT OF COMPETENT JURISDICTION LOCATED WITHIN THE STATE OF NEW YORK AND NO OTHER PLACE AND IRREVOCABLY AGREES THAT ALL ACTIONS OR PROCEEDINGS RELATING TO THIS SUBSCRIPTION AGREEMENT MAY BE LITIGATED IN SUCH COURTS. EACH OF INVESTORS AND THE COMPANY ACCEPTS FOR ITSELF AND HIMSELF AND IN CONNECTION WITH ITS AND HIS RESPECTIVE PROPERTIES, GENERALLY AND UNCONDITIONALLY, THE EXCLUSIVE JURISDICTION OF THE AFORESAID COURTS AND WAIVES ANY DEFENSE OF FORUM NON CONVENIENS, AND IRREVOCABLY AGREES TO BE BOUND BY ANY JUDGMENT RENDERED THEREBY IN CONNECTION WITH THIS SUBSCRIPTION AGREEMENT. INVESTOR AND THE COMPANY FURTHER IRREVOCABLY CONSENTS TO THE SERVICE OF PROCESS OUT OF ANY OF THE AFOREMENTIONED COURTS IN THE MANNER AND IN THE ADDRESS SPECIFIED IN SECTION 8 AND THE SIGNATURE PAGE OF THIS SUBSCRIPTION AGREEMENT. HOWEVER, NOTHING IN THIS PARAGRAPH SHALL BE CONSTRUED TO BE APPLICABLE TO ANY ACTION ARISING UNDER THE FEDERAL SECURITIES LAWS.</w:t>
      </w:r>
    </w:p>
    <w:p>
      <w:pPr>
        <w:pStyle w:val="TextBody"/>
        <w:bidi w:val="0"/>
        <w:spacing w:before="0" w:after="0"/>
        <w:jc w:val="both"/>
        <w:rPr>
          <w:caps w:val="false"/>
          <w:smallCaps w:val="false"/>
        </w:rPr>
      </w:pPr>
      <w:r>
        <w:rPr>
          <w:caps w:val="false"/>
          <w:smallCaps w:val="false"/>
        </w:rPr>
        <w:t> </w:t>
      </w:r>
    </w:p>
    <w:tbl>
      <w:tblPr>
        <w:tblW w:w="170" w:type="dxa"/>
        <w:jc w:val="left"/>
        <w:tblInd w:w="0" w:type="dxa"/>
        <w:tblLayout w:type="fixed"/>
        <w:tblCellMar>
          <w:top w:w="0" w:type="dxa"/>
          <w:left w:w="0" w:type="dxa"/>
          <w:bottom w:w="0" w:type="dxa"/>
          <w:right w:w="0" w:type="dxa"/>
        </w:tblCellMar>
      </w:tblPr>
      <w:tblGrid>
        <w:gridCol w:w="170"/>
      </w:tblGrid>
      <w:tr>
        <w:trPr/>
        <w:tc>
          <w:tcPr>
            <w:tcW w:w="170" w:type="dxa"/>
            <w:tcBorders/>
            <w:vAlign w:val="center"/>
          </w:tcPr>
          <w:p>
            <w:pPr>
              <w:pStyle w:val="TableContents"/>
              <w:bidi w:val="0"/>
              <w:jc w:val="center"/>
              <w:rPr/>
            </w:pPr>
            <w:r>
              <w:rPr/>
              <w:t>9</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EACH OF THE PARTIES HERETO HEREBY IRREVOCABLY WAIVES ALL RIGHT TO TRIAL BY JURY IN ANY ACTION, PROCEEDING OR COUNTERCLAIM (WHETHER BASED IN CONTRACT, TORT OR OTHERWISE) ARISING OUT OF OR RELATING TO THIS SUBSCRIPTION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SUBSCRIPTION AGREEMENT. IN THE EVENT OF LITIGATION, THIS SUBSCRIPTION AGREEMENT MAY BE FILED AS A WRITTEN CONSENT TO A TRIAL BY THE COURT. BY AGREEING TO THIS PROVISION, EACH INVESTOR WILL NOT BE DEEMED TO HAVE WAIVED THE COMPANY’S COMPLIANCE WITH U.S. FEDERAL SECURITIES LAWS AND THE RULES AND REGULATIONS PROMULGATED THEREUNDER.</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8. </w:t>
      </w:r>
      <w:r>
        <w:rPr>
          <w:rFonts w:ascii="Times New Roman;Times;Serif" w:hAnsi="Times New Roman;Times;Serif"/>
          <w:b/>
          <w:i w:val="false"/>
          <w:caps w:val="false"/>
          <w:smallCaps w:val="false"/>
          <w:sz w:val="20"/>
          <w:u w:val="single"/>
        </w:rPr>
        <w:t>Notices</w:t>
      </w:r>
      <w:r>
        <w:rPr>
          <w:rFonts w:ascii="Times New Roman;Times;Serif" w:hAnsi="Times New Roman;Times;Serif"/>
          <w:b w:val="false"/>
          <w:i w:val="false"/>
          <w:caps w:val="false"/>
          <w:smallCaps w:val="false"/>
          <w:sz w:val="20"/>
        </w:rPr>
        <w:t>. Notice, requests, demands and other communications relating to this Subscription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telecopied or cabled on the date of such delivery to the address of the respective parties as follows: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the Company, to:</w:t>
      </w:r>
    </w:p>
    <w:p>
      <w:pPr>
        <w:pStyle w:val="TextBody"/>
        <w:bidi w:val="0"/>
        <w:spacing w:before="0" w:after="0"/>
        <w:ind w:left="720" w:right="0" w:hanging="0"/>
        <w:jc w:val="both"/>
        <w:rPr>
          <w:caps w:val="false"/>
          <w:smallCaps w:val="false"/>
        </w:rPr>
      </w:pPr>
      <w:r>
        <w:rPr>
          <w:caps w:val="false"/>
          <w:smallCaps w:val="false"/>
        </w:rPr>
        <w:t> </w:t>
      </w:r>
    </w:p>
    <w:p>
      <w:pPr>
        <w:pStyle w:val="TextBody"/>
        <w:bidi w:val="0"/>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Innovega Inc.</w:t>
      </w:r>
    </w:p>
    <w:p>
      <w:pPr>
        <w:pStyle w:val="TextBody"/>
        <w:bidi w:val="0"/>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11900 NE 1</w:t>
      </w:r>
      <w:r>
        <w:rPr>
          <w:rFonts w:ascii="Times New Roman;Times;Serif" w:hAnsi="Times New Roman;Times;Serif"/>
          <w:b w:val="false"/>
          <w:i w:val="false"/>
          <w:caps w:val="false"/>
          <w:smallCaps w:val="false"/>
          <w:position w:val="7"/>
          <w:sz w:val="16"/>
          <w:sz w:val="20"/>
        </w:rPr>
        <w:t>st</w:t>
      </w:r>
      <w:r>
        <w:rPr>
          <w:rFonts w:ascii="Times New Roman;Times;Serif" w:hAnsi="Times New Roman;Times;Serif"/>
          <w:b w:val="false"/>
          <w:i w:val="false"/>
          <w:caps w:val="false"/>
          <w:smallCaps w:val="false"/>
          <w:sz w:val="20"/>
        </w:rPr>
        <w:t xml:space="preserve"> Street</w:t>
      </w:r>
    </w:p>
    <w:p>
      <w:pPr>
        <w:pStyle w:val="TextBody"/>
        <w:bidi w:val="0"/>
        <w:spacing w:before="0" w:after="0"/>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Bellevue, Washington 98005</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Investor, at Investor’s address supplied in connection with this subscription, or to such other address as may be specified by written notice from time to time by the party entitled to receive such notice. Any notices, requests, demands or other communications by email shall be confirmed by letter given in accordance with (a) or (b) above.</w:t>
      </w:r>
    </w:p>
    <w:p>
      <w:pPr>
        <w:pStyle w:val="TextBody"/>
        <w:bidi w:val="0"/>
        <w:spacing w:before="0" w:after="0"/>
        <w:jc w:val="both"/>
        <w:rPr>
          <w:caps w:val="false"/>
          <w:smallCaps w:val="false"/>
        </w:rPr>
      </w:pPr>
      <w:r>
        <w:rPr>
          <w:caps w:val="false"/>
          <w:smallCaps w:val="false"/>
        </w:rPr>
        <w:t> </w:t>
      </w:r>
    </w:p>
    <w:p>
      <w:pPr>
        <w:pStyle w:val="TextBody"/>
        <w:bidi w:val="0"/>
        <w:spacing w:before="0" w:after="0"/>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 </w:t>
      </w:r>
      <w:r>
        <w:rPr>
          <w:rFonts w:ascii="Times New Roman;Times;Serif" w:hAnsi="Times New Roman;Times;Serif"/>
          <w:b/>
          <w:i w:val="false"/>
          <w:caps w:val="false"/>
          <w:smallCaps w:val="false"/>
          <w:sz w:val="20"/>
          <w:u w:val="single"/>
        </w:rPr>
        <w:t>Miscellaneous</w:t>
      </w:r>
      <w:r>
        <w:rPr>
          <w:rFonts w:ascii="Times New Roman;Times;Serif" w:hAnsi="Times New Roman;Times;Serif"/>
          <w:b w:val="false"/>
          <w:i w:val="false"/>
          <w:caps w:val="false"/>
          <w:smallCaps w:val="false"/>
          <w:sz w:val="20"/>
          <w:u w:val="single"/>
        </w:rPr>
        <w: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All pronouns and any variations thereof shall be deemed to refer to the masculine, feminine, neuter, singular or plural, as the identity of the person or persons or entity or entities may require.</w:t>
      </w:r>
    </w:p>
    <w:p>
      <w:pPr>
        <w:pStyle w:val="TextBody"/>
        <w:bidi w:val="0"/>
        <w:spacing w:before="0" w:after="0"/>
        <w:jc w:val="both"/>
        <w:rPr>
          <w:caps w:val="false"/>
          <w:smallCaps w:val="false"/>
        </w:rPr>
      </w:pPr>
      <w:r>
        <w:rPr>
          <w:caps w:val="false"/>
          <w:smallCaps w:val="false"/>
        </w:rPr>
        <w:t> </w:t>
      </w:r>
    </w:p>
    <w:tbl>
      <w:tblPr>
        <w:tblW w:w="290" w:type="dxa"/>
        <w:jc w:val="left"/>
        <w:tblInd w:w="0" w:type="dxa"/>
        <w:tblLayout w:type="fixed"/>
        <w:tblCellMar>
          <w:top w:w="0" w:type="dxa"/>
          <w:left w:w="0" w:type="dxa"/>
          <w:bottom w:w="0" w:type="dxa"/>
          <w:right w:w="0" w:type="dxa"/>
        </w:tblCellMar>
      </w:tblPr>
      <w:tblGrid>
        <w:gridCol w:w="290"/>
      </w:tblGrid>
      <w:tr>
        <w:trPr/>
        <w:tc>
          <w:tcPr>
            <w:tcW w:w="290" w:type="dxa"/>
            <w:tcBorders/>
            <w:vAlign w:val="center"/>
          </w:tcPr>
          <w:p>
            <w:pPr>
              <w:pStyle w:val="TableContents"/>
              <w:bidi w:val="0"/>
              <w:jc w:val="center"/>
              <w:rPr/>
            </w:pPr>
            <w:r>
              <w:rPr/>
              <w:t>10</w:t>
            </w:r>
          </w:p>
        </w:tc>
      </w:tr>
    </w:tbl>
    <w:p>
      <w:pPr>
        <w:pStyle w:val="TextBody"/>
        <w:bidi w:val="0"/>
        <w:spacing w:before="0" w:after="0"/>
        <w:ind w:left="0" w:right="0" w:hanging="0"/>
        <w:jc w:val="left"/>
        <w:rPr/>
      </w:pPr>
      <w:r>
        <w:rPr/>
        <w:t> </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The representations, warranties and agreements contained herein shall be deemed to be made by and be binding upon Investor and its heirs, executors, administrators and successors and shall inure to the benefit of the Company and its successors and assigns.</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None of the provisions of this Subscription Agreement may be waived, changed or terminated orally or otherwise, except as specifically set forth herein or except by a writing signed by the Company and Investor.</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In the event any part of this Subscription Agreement is found to be void or unenforceable, the remaining provisions are intended to be separable and binding with the same effect as if the void or unenforceable part were never the subject of agreement.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The invalidity, illegality or unenforceability of one or more of the provisions of this Subscription Agreement in any jurisdiction shall not affect the validity, legality or enforceability of the remainder of this Subscription Agreement in such jurisdiction or the validity, legality or enforceability of this Subscription Agreement, including any such provision, in any other jurisdiction, it being intended that all rights and obligations of the parties hereunder shall be enforceable to the fullest extent permitted by law.</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(f) This Subscription Agreement supersedes all prior discussions and agreements between the parties with respect to the subject matter hereof and contains the sole and entire agreement between the parties hereto with respect to the subject matter hereof.</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(g) The terms and provisions of this Subscription Agreement are intended solely for the benefit of each party hereto and their respective successors and assigns, and it is not the intention of the parties to confer, and no provision hereof shall confer, third-party beneficiary rights upon any other person.</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(h) The headings used in this Subscription Agreement have been inserted for convenience of reference only and do not define or limit the provisions hereof.</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This Subscription Agreement may be executed in any number of counterparts, each of which will be deemed an original, but all of which together will constitute one and the same instrument.</w:t>
      </w:r>
    </w:p>
    <w:p>
      <w:pPr>
        <w:pStyle w:val="TextBody"/>
        <w:bidi w:val="0"/>
        <w:spacing w:before="0" w:after="0"/>
        <w:jc w:val="both"/>
        <w:rPr>
          <w:caps w:val="false"/>
          <w:smallCaps w:val="false"/>
        </w:rPr>
      </w:pPr>
      <w:r>
        <w:rPr>
          <w:caps w:val="false"/>
          <w:smallCaps w:val="false"/>
        </w:rPr>
        <w:t> </w:t>
      </w:r>
    </w:p>
    <w:p>
      <w:pPr>
        <w:pStyle w:val="TextBody"/>
        <w:bidi w:val="0"/>
        <w:spacing w:before="0" w:after="0"/>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 No failure or delay by any party in exercising any right, power or privilege under this Subscription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pPr>
        <w:pStyle w:val="TextBody"/>
        <w:bidi w:val="0"/>
        <w:spacing w:before="0" w:after="0"/>
        <w:jc w:val="both"/>
        <w:rPr>
          <w:caps w:val="false"/>
          <w:smallCaps w:val="false"/>
        </w:rPr>
      </w:pPr>
      <w:r>
        <w:rPr>
          <w:caps w:val="false"/>
          <w:smallCaps w:val="false"/>
        </w:rPr>
        <w:t> </w:t>
      </w:r>
    </w:p>
    <w:p>
      <w:pPr>
        <w:pStyle w:val="TextBody"/>
        <w:bidi w:val="0"/>
        <w:spacing w:before="0" w:after="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10. </w:t>
      </w:r>
      <w:r>
        <w:rPr>
          <w:rFonts w:ascii="Times New Roman;Times;Serif" w:hAnsi="Times New Roman;Times;Serif"/>
          <w:b/>
          <w:i w:val="false"/>
          <w:caps w:val="false"/>
          <w:smallCaps w:val="false"/>
          <w:sz w:val="20"/>
          <w:u w:val="single"/>
        </w:rPr>
        <w:t>Subscription Procedure</w:t>
      </w:r>
      <w:r>
        <w:rPr>
          <w:rFonts w:ascii="Times New Roman;Times;Serif" w:hAnsi="Times New Roman;Times;Serif"/>
          <w:b w:val="false"/>
          <w:i w:val="false"/>
          <w:caps w:val="false"/>
          <w:smallCaps w:val="false"/>
          <w:sz w:val="20"/>
        </w:rPr>
        <w:t>. Each Investor, by providing his or her name and subscription amount and clicking “accept” and/or checking the appropriate box on the Platform (“</w:t>
      </w:r>
      <w:r>
        <w:rPr>
          <w:rFonts w:ascii="Times New Roman;Times;Serif" w:hAnsi="Times New Roman;Times;Serif"/>
          <w:b/>
          <w:i/>
          <w:caps w:val="false"/>
          <w:smallCaps w:val="false"/>
          <w:sz w:val="20"/>
        </w:rPr>
        <w:t>Online Acceptance</w:t>
      </w:r>
      <w:r>
        <w:rPr>
          <w:rFonts w:ascii="Times New Roman;Times;Serif" w:hAnsi="Times New Roman;Times;Serif"/>
          <w:b w:val="false"/>
          <w:i w:val="false"/>
          <w:caps w:val="false"/>
          <w:smallCaps w:val="false"/>
          <w:sz w:val="20"/>
        </w:rPr>
        <w:t>”), confirms such Investor’s investment through the Platform and confirms such Investor’s electronic signature to this Subscription Agreement. Investor agrees that his or her electronic signature as provided through Online Acceptance is the legal equivalent of his or her manual signature on this Subscription Agreement and Online Acceptance establishes such Investor’s acceptance of the terms and conditions of this Subscription Agreement.</w:t>
      </w:r>
    </w:p>
    <w:p>
      <w:pPr>
        <w:pStyle w:val="TextBody"/>
        <w:bidi w:val="0"/>
        <w:spacing w:before="0" w:after="0"/>
        <w:jc w:val="both"/>
        <w:rPr>
          <w:caps w:val="false"/>
          <w:smallCaps w:val="false"/>
        </w:rPr>
      </w:pPr>
      <w:r>
        <w:rPr>
          <w:caps w:val="false"/>
          <w:smallCaps w:val="false"/>
        </w:rPr>
        <w:t> </w:t>
      </w:r>
    </w:p>
    <w:tbl>
      <w:tblPr>
        <w:tblW w:w="290" w:type="dxa"/>
        <w:jc w:val="left"/>
        <w:tblInd w:w="0" w:type="dxa"/>
        <w:tblLayout w:type="fixed"/>
        <w:tblCellMar>
          <w:top w:w="0" w:type="dxa"/>
          <w:left w:w="0" w:type="dxa"/>
          <w:bottom w:w="0" w:type="dxa"/>
          <w:right w:w="0" w:type="dxa"/>
        </w:tblCellMar>
      </w:tblPr>
      <w:tblGrid>
        <w:gridCol w:w="290"/>
      </w:tblGrid>
      <w:tr>
        <w:trPr/>
        <w:tc>
          <w:tcPr>
            <w:tcW w:w="290" w:type="dxa"/>
            <w:tcBorders/>
            <w:vAlign w:val="center"/>
          </w:tcPr>
          <w:p>
            <w:pPr>
              <w:pStyle w:val="TableContents"/>
              <w:bidi w:val="0"/>
              <w:jc w:val="center"/>
              <w:rPr/>
            </w:pPr>
            <w:r>
              <w:rPr/>
              <w:t>11</w:t>
            </w:r>
          </w:p>
        </w:tc>
      </w:tr>
    </w:tbl>
    <w:p>
      <w:pPr>
        <w:pStyle w:val="TextBody"/>
        <w:bidi w:val="0"/>
        <w:spacing w:lineRule="auto" w:line="276" w:before="0" w:after="140"/>
        <w:jc w:val="left"/>
        <w:rPr/>
      </w:pPr>
      <w:r>
        <w:rPr/>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LibreOffice/7.2.0.4$Linux_X86_64 LibreOffice_project/9a9c6381e3f7a62afc1329bd359cc48accb6435b</Application>
  <AppVersion>15.0000</AppVersion>
  <Pages>4</Pages>
  <Words>5235</Words>
  <Characters>28283</Characters>
  <CharactersWithSpaces>33525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