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i75lupmh9hf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A </w:t>
        <w:tab/>
        <w:tab/>
        <w:tab/>
        <w:tab/>
        <w:t xml:space="preserve">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SMS.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(e.g.,"SMS")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Add SMS permissions (SEND_SMS) in the manifest file.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Sim Card Configured 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Required permission for sending SMS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="android.permission.SEND_SMS"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Declare that the app uses telephony features but doesn't require them --&gt;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="@color/purple_500"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SMS"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="@+id/phoneNumberEditText"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phone number...!"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="@id/titleTextView"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="@+id/messageEditText"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message...!"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="@id/phoneNumberEditText"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="@+id/sendButton"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="@drawable/button_background"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="@id/messageEditText"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E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com.example.sms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android.Manifest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android.content.pm.PackageManager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android.os.Build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android.telephony.SmsManager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androidx.core.content.ContextCompat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SMS_PERMISSION_CODE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Bundle?)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setContentView(R.layout.activity_main)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views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phoneNumberEditText = findViewById(R.id.phoneNumberEditText)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messageEditText = findViewById(R.id.messageEditText)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sendButton = findViewById(R.id.sendButton)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the send button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sendButton.setOnClickListener {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(checkSmsPermission())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sendSMS()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requestSmsPermission()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Boolean 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ContextCompat.checkSelfPermission(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Manifest.permission.SEND_SMS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== PackageManager.PERMISSION_GRANTED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(ActivityCompat.shouldShowRequestPermissionRationale(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Manifest.permission.SEND_SMS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custom dialog explaining why we need this permission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needed"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Send SMS to send and view SMS messages?"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ActivityCompat.requestPermissions(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SMS_PERMISSION_CODE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dialog.dismiss()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.create()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.show()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 directly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ActivityCompat.requestPermissions(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arrayOf(Manifest.permission.SEND_SMS),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SMS_PERMISSION_CODE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Int,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String&gt;,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IntArray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) 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(requestCode == SMS_PERMISSION_CODE)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(grantResults.isNotEmpty() &amp;&amp; grantResults[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PackageManager.PERMISSION_GRANTED)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send the SMS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sendSMS()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denied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Toast.makeText(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"SMS permission denied. Cannot send messages."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Toast.LENGTH_SHORT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).show()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phoneNumberEditText.text.toString().trim()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messageEditText.text.toString().trim()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(phoneNumber.isEmpty() || message.isEmpty())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both phone number and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smsManager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(Build.VERSION.SDK_INT &gt;= Build.VERSION_CODES.S)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.getSystemService(SmsManager::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.java)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@Suppress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"DEPRECATION"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SmsManager.getDefault()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smsManager.sendTextMessage(phoneNumber,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 Sent"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sending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messageEditText.text.clear()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Exception)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"Failed to send SMS: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e.message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e.printStackTrace()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38338" cy="42623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4367" cy="42705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8501" cy="427051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SMS application successfully sends text messages to specified phone numbers using Kotlin code on a mobile device with SMS permission granted.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2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