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11111"/>
          <w:sz w:val="30"/>
        </w:rPr>
        <w:t>Experiment 5</w:t>
      </w:r>
    </w:p>
    <w:p>
      <w:pPr>
        <w:spacing w:before="0" w:after="280"/>
        <w:jc w:val="center"/>
      </w:pPr>
      <w:r>
        <w:rPr>
          <w:b/>
          <w:color w:val="111111"/>
          <w:sz w:val="26"/>
        </w:rPr>
        <w:t>Model Training and Hyperparameter Tuning</w:t>
      </w:r>
    </w:p>
    <w:p>
      <w:pPr>
        <w:spacing w:before="220" w:after="60"/>
      </w:pPr>
      <w:r>
        <w:rPr>
          <w:b/>
          <w:color w:val="111111"/>
          <w:sz w:val="21"/>
        </w:rPr>
        <w:t>1. Objective</w:t>
      </w:r>
    </w:p>
    <w:p>
      <w:pPr>
        <w:spacing w:after="80"/>
      </w:pPr>
      <w:r>
        <w:rPr>
          <w:sz w:val="19"/>
        </w:rPr>
        <w:t>This experiment implements, trains, hyperparameter-tunes, and evaluates candidate supervised machine learning algorithms (Logistic Regression, Support Vector Machine, and Random Forest) on the standardized Breast Cancer Wisconsin (Diagnostic) dataset. It utilizes Stratified 5-Fold Cross-Validation (GridSearchCV) to optimize classification metrics with an emphasis on Malignant Recall (sensitivity) and ROC-AUC, compares performance against baseline heuristics, and saves the serialized model checkpoints to establish reproducible artifacts for downstream evaluation.</w:t>
      </w:r>
    </w:p>
    <w:p>
      <w:pPr>
        <w:spacing w:before="220" w:after="60"/>
      </w:pPr>
      <w:r>
        <w:rPr>
          <w:b/>
          <w:color w:val="111111"/>
          <w:sz w:val="21"/>
        </w:rPr>
        <w:t>2. Baseline Model Formulation and Lower-Bound Benchmarks</w:t>
      </w:r>
    </w:p>
    <w:p>
      <w:pPr>
        <w:spacing w:after="80"/>
      </w:pPr>
      <w:r>
        <w:rPr>
          <w:sz w:val="19"/>
        </w:rPr>
        <w:t>Zero-rule heuristic baseline: A DummyClassifier utilizing the 'most_frequent' strategy was trained on the training partition (455 instances). Because benign cases form 62.6% of the training cohort, the majority-class baseline achieves an accuracy of 63.16% on the validation set, but yields a Malignant Recall of 0.00% and a default ROC-AUC of 0.5000. This confirms that naive accuracy is clinically unusable and establishes the true empirical lower bound.</w:t>
      </w:r>
    </w:p>
    <w:p>
      <w:pPr>
        <w:spacing w:after="80"/>
      </w:pPr>
      <w:r>
        <w:rPr>
          <w:sz w:val="19"/>
        </w:rPr>
        <w:t>Untuned standard linear baseline: A default Logistic Regression model without hyperparameter optimization was evaluated, yielding 94.74% validation accuracy, 85.71% malignant recall, and 0.9934 ROC-AUC. Candidate models are required to exceed these thresholds under cross-validation.</w:t>
      </w:r>
    </w:p>
    <w:p>
      <w:pPr>
        <w:spacing w:before="220" w:after="60"/>
      </w:pPr>
      <w:r>
        <w:rPr>
          <w:b/>
          <w:color w:val="111111"/>
          <w:sz w:val="21"/>
        </w:rPr>
        <w:t>3. Candidate Algorithms and Architectural Specifications</w:t>
      </w:r>
    </w:p>
    <w:p>
      <w:pPr>
        <w:spacing w:after="80"/>
      </w:pPr>
      <w:r>
        <w:rPr>
          <w:sz w:val="19"/>
        </w:rPr>
        <w:t>Three distinct algorithm families were selected to balance parametric interpretability, non-linear geometric margin separation, and tree-based ensemble variance reduction:</w:t>
      </w:r>
    </w:p>
    <w:p>
      <w:pPr>
        <w:pStyle w:val="ListBullet"/>
        <w:spacing w:after="50"/>
      </w:pPr>
      <w:r>
        <w:rPr>
          <w:b/>
          <w:sz w:val="19"/>
        </w:rPr>
        <w:t xml:space="preserve">Logistic Regression (L2 Regularized): </w:t>
      </w:r>
      <w:r>
        <w:rPr>
          <w:sz w:val="19"/>
        </w:rPr>
        <w:t>Linear parametric classifier using the logistic sigmoid activation P(y=1|x) = 1 / (1 + e^-(w^T x + b)) with an L2 Ridge penalty (1/2C * ||w||_2^2) integrated into binary cross-entropy loss to control multicollinearity.</w:t>
      </w:r>
    </w:p>
    <w:p>
      <w:pPr>
        <w:pStyle w:val="ListBullet"/>
        <w:spacing w:after="50"/>
      </w:pPr>
      <w:r>
        <w:rPr>
          <w:b/>
          <w:sz w:val="19"/>
        </w:rPr>
        <w:t xml:space="preserve">Support Vector Machine (SVM - RBF Kernel): </w:t>
      </w:r>
      <w:r>
        <w:rPr>
          <w:sz w:val="19"/>
        </w:rPr>
        <w:t>Maximum-margin classifier finding an optimal separating hyperplane in a high-dimensional reproducing Hilbert space using the Radial Basis Function kernel K(x_i, x_j) = exp(-gamma * ||x_i - x_j||^2).</w:t>
      </w:r>
    </w:p>
    <w:p>
      <w:pPr>
        <w:pStyle w:val="ListBullet"/>
        <w:spacing w:after="50"/>
      </w:pPr>
      <w:r>
        <w:rPr>
          <w:b/>
          <w:sz w:val="19"/>
        </w:rPr>
        <w:t xml:space="preserve">Random Forest Classifier: </w:t>
      </w:r>
      <w:r>
        <w:rPr>
          <w:sz w:val="19"/>
        </w:rPr>
        <w:t>Non-parametric bootstrap aggregation (Bagging) ensemble of decorrelated decision trees with random feature subspace sampling (sqrt/log2) and Gini impurity node splitting criteria.</w:t>
      </w:r>
    </w:p>
    <w:p>
      <w:pPr>
        <w:spacing w:before="220" w:after="60"/>
      </w:pPr>
      <w:r>
        <w:rPr>
          <w:b/>
          <w:color w:val="111111"/>
          <w:sz w:val="21"/>
        </w:rPr>
        <w:t>4. Hyperparameter Optimization Setup (Stratified GridSearchCV)</w:t>
      </w:r>
    </w:p>
    <w:p>
      <w:pPr>
        <w:spacing w:after="80"/>
      </w:pPr>
      <w:r>
        <w:rPr>
          <w:sz w:val="19"/>
        </w:rPr>
        <w:t>Hyperparameters were tuned via 5-Fold Stratified Cross-Validation on the 455 training instances. The optimization target was set to ROC-AUC ('refit=roc_auc') to maximize global discrimination capability across potential diagnostic decision thresholds.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fill="EFEFE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111111"/>
                <w:sz w:val="18"/>
              </w:rPr>
              <w:t>Algorithm</w:t>
            </w:r>
          </w:p>
        </w:tc>
        <w:tc>
          <w:tcPr>
            <w:tcW w:type="dxa" w:w="3024"/>
            <w:shd w:fill="EFEFE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111111"/>
                <w:sz w:val="18"/>
              </w:rPr>
              <w:t>Search Parameter Grid</w:t>
            </w:r>
          </w:p>
        </w:tc>
        <w:tc>
          <w:tcPr>
            <w:tcW w:type="dxa" w:w="2880"/>
            <w:shd w:fill="EFEFE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111111"/>
                <w:sz w:val="18"/>
              </w:rPr>
              <w:t>Optimal Hyperparameters</w:t>
            </w:r>
          </w:p>
        </w:tc>
        <w:tc>
          <w:tcPr>
            <w:tcW w:type="dxa" w:w="1296"/>
            <w:shd w:fill="EFEFE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111111"/>
                <w:sz w:val="18"/>
              </w:rPr>
              <w:t>Tuning Duration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Logistic Regression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C: [0.01 to 10.0], solver: ['lbfgs', 'liblinear'], class_weight: ['balanced', None]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C: 1.0, penalty: 'l2', solver: 'lbfgs', class_weight: None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7.74 s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  <w:shd w:fill="F9F9F9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Support Vector Machine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  <w:shd w:fill="F9F9F9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C: [0.1 to 50.0], gamma: ['scale', 'auto', 0.01, 0.05], kernel: ['rbf', 'linear']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9F9F9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C: 5.0, gamma: 0.01, kernel: 'rbf', class_weight: None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100" w:type="dxa"/>
              <w:right w:w="100" w:type="dxa"/>
            </w:tcMar>
            <w:shd w:fill="F9F9F9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6.18 s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Random Forest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n_estimators: [50, 100, 200], max_depth: [3 to 12, None], max_features: ['sqrt', 'log2']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n_estimators: 50, max_depth: 12, max_features: 'log2', balanced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221.04 s</w:t>
            </w:r>
          </w:p>
        </w:tc>
      </w:tr>
    </w:tbl>
    <w:p>
      <w:pPr>
        <w:spacing w:before="220" w:after="60"/>
      </w:pPr>
      <w:r>
        <w:rPr>
          <w:b/>
          <w:color w:val="111111"/>
          <w:sz w:val="21"/>
        </w:rPr>
        <w:t>5. Stratified 5-Fold Cross-Validation Performance Benchmark</w:t>
      </w:r>
    </w:p>
    <w:p>
      <w:pPr>
        <w:spacing w:after="80"/>
      </w:pPr>
      <w:r>
        <w:rPr>
          <w:sz w:val="19"/>
        </w:rPr>
        <w:t>The cross-validation scores (Mean ± Standard Deviation) across 5 stratified folds on the training set (N=455) are summarized below: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160"/>
            <w:shd w:fill="EFEFE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111111"/>
                <w:sz w:val="18"/>
              </w:rPr>
              <w:t>Model Architecture</w:t>
            </w:r>
          </w:p>
        </w:tc>
        <w:tc>
          <w:tcPr>
            <w:tcW w:type="dxa" w:w="1368"/>
            <w:shd w:fill="EFEFE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111111"/>
                <w:sz w:val="18"/>
              </w:rPr>
              <w:t>CV Accuracy</w:t>
            </w:r>
          </w:p>
        </w:tc>
        <w:tc>
          <w:tcPr>
            <w:tcW w:type="dxa" w:w="1584"/>
            <w:shd w:fill="EFEFE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111111"/>
                <w:sz w:val="18"/>
              </w:rPr>
              <w:t>CV Recall (Malignant)</w:t>
            </w:r>
          </w:p>
        </w:tc>
        <w:tc>
          <w:tcPr>
            <w:tcW w:type="dxa" w:w="1368"/>
            <w:shd w:fill="EFEFE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111111"/>
                <w:sz w:val="18"/>
              </w:rPr>
              <w:t>CV Precision</w:t>
            </w:r>
          </w:p>
        </w:tc>
        <w:tc>
          <w:tcPr>
            <w:tcW w:type="dxa" w:w="1368"/>
            <w:shd w:fill="EFEFE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111111"/>
                <w:sz w:val="18"/>
              </w:rPr>
              <w:t>CV F1-Score</w:t>
            </w:r>
          </w:p>
        </w:tc>
        <w:tc>
          <w:tcPr>
            <w:tcW w:type="dxa" w:w="1368"/>
            <w:shd w:fill="EFEFE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111111"/>
                <w:sz w:val="18"/>
              </w:rPr>
              <w:t>CV ROC-AUC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Baseline (Majority)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0.6264 ± 0.002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0.0000 ± 0.000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0.0000 ± 0.000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0.0000 ± 0.000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0.5000 ± 0.000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shd w:fill="F9F9F9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Untuned Logistic Reg.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100" w:type="dxa"/>
              <w:right w:w="100" w:type="dxa"/>
            </w:tcMar>
            <w:shd w:fill="F9F9F9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0.9714 ± 0.015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100" w:type="dxa"/>
              <w:right w:w="100" w:type="dxa"/>
            </w:tcMar>
            <w:shd w:fill="F9F9F9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0.9471 ± 0.043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100" w:type="dxa"/>
              <w:right w:w="100" w:type="dxa"/>
            </w:tcMar>
            <w:shd w:fill="F9F9F9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0.9758 ± 0.024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100" w:type="dxa"/>
              <w:right w:w="100" w:type="dxa"/>
            </w:tcMar>
            <w:shd w:fill="F9F9F9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0.9608 ± 0.021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100" w:type="dxa"/>
              <w:right w:w="100" w:type="dxa"/>
            </w:tcMar>
            <w:shd w:fill="F9F9F9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0.9942 ± 0.005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Logistic Regression (L2)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0.9736 ± 0.015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0.9529 ± 0.040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0.9771 ± 0.028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0.9640 ± 0.021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0.9958 ± 0.005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shd w:fill="F9F9F9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SVM (RBF Kernel)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100" w:type="dxa"/>
              <w:right w:w="100" w:type="dxa"/>
            </w:tcMar>
            <w:shd w:fill="F9F9F9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0.9758 ± 0.013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100" w:type="dxa"/>
              <w:right w:w="100" w:type="dxa"/>
            </w:tcMar>
            <w:shd w:fill="F9F9F9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0.9471 ± 0.043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100" w:type="dxa"/>
              <w:right w:w="100" w:type="dxa"/>
            </w:tcMar>
            <w:shd w:fill="F9F9F9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0.9889 ± 0.022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100" w:type="dxa"/>
              <w:right w:w="100" w:type="dxa"/>
            </w:tcMar>
            <w:shd w:fill="F9F9F9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0.9666 ± 0.019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100" w:type="dxa"/>
              <w:right w:w="100" w:type="dxa"/>
            </w:tcMar>
            <w:shd w:fill="F9F9F9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0.9960 ± 0.005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Random Forest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0.9582 ± 0.016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0.9412 ± 0.026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0.9469 ± 0.022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0.9439 ± 0.022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0.9913 ± 0.005</w:t>
            </w:r>
          </w:p>
        </w:tc>
      </w:tr>
    </w:tbl>
    <w:p>
      <w:pPr>
        <w:spacing w:before="220" w:after="60"/>
      </w:pPr>
      <w:r>
        <w:rPr>
          <w:b/>
          <w:color w:val="111111"/>
          <w:sz w:val="21"/>
        </w:rPr>
        <w:t>6. Validation Holdout Set Evaluation and Clinical Error Trade-Offs</w:t>
      </w:r>
    </w:p>
    <w:p>
      <w:pPr>
        <w:spacing w:after="80"/>
      </w:pPr>
      <w:r>
        <w:rPr>
          <w:sz w:val="19"/>
        </w:rPr>
        <w:t>Performance of the optimal model checkpoints on the independent validation holdout set (N=57: 36 Benign, 21 Malignant):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872"/>
            <w:shd w:fill="EFEFE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111111"/>
                <w:sz w:val="18"/>
              </w:rPr>
              <w:t>Model</w:t>
            </w:r>
          </w:p>
        </w:tc>
        <w:tc>
          <w:tcPr>
            <w:tcW w:type="dxa" w:w="1008"/>
            <w:shd w:fill="EFEFE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111111"/>
                <w:sz w:val="18"/>
              </w:rPr>
              <w:t>Accuracy</w:t>
            </w:r>
          </w:p>
        </w:tc>
        <w:tc>
          <w:tcPr>
            <w:tcW w:type="dxa" w:w="1008"/>
            <w:shd w:fill="EFEFE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111111"/>
                <w:sz w:val="18"/>
              </w:rPr>
              <w:t>Recall</w:t>
            </w:r>
          </w:p>
        </w:tc>
        <w:tc>
          <w:tcPr>
            <w:tcW w:type="dxa" w:w="1080"/>
            <w:shd w:fill="EFEFE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111111"/>
                <w:sz w:val="18"/>
              </w:rPr>
              <w:t>Specificity</w:t>
            </w:r>
          </w:p>
        </w:tc>
        <w:tc>
          <w:tcPr>
            <w:tcW w:type="dxa" w:w="1008"/>
            <w:shd w:fill="EFEFE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111111"/>
                <w:sz w:val="18"/>
              </w:rPr>
              <w:t>Precision</w:t>
            </w:r>
          </w:p>
        </w:tc>
        <w:tc>
          <w:tcPr>
            <w:tcW w:type="dxa" w:w="936"/>
            <w:shd w:fill="EFEFE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111111"/>
                <w:sz w:val="18"/>
              </w:rPr>
              <w:t>F1</w:t>
            </w:r>
          </w:p>
        </w:tc>
        <w:tc>
          <w:tcPr>
            <w:tcW w:type="dxa" w:w="1080"/>
            <w:shd w:fill="EFEFE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111111"/>
                <w:sz w:val="18"/>
              </w:rPr>
              <w:t>ROC-AUC</w:t>
            </w:r>
          </w:p>
        </w:tc>
        <w:tc>
          <w:tcPr>
            <w:tcW w:type="dxa" w:w="1944"/>
            <w:shd w:fill="EFEFE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111111"/>
                <w:sz w:val="18"/>
              </w:rPr>
              <w:t>Confusion Matrix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Logistic Regression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94.74%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85.71%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100.00%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100.00%</w:t>
            </w:r>
          </w:p>
        </w:tc>
        <w:tc>
          <w:tcPr>
            <w:tcW w:type="dxa" w:w="93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0.9231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0.9934</w:t>
            </w:r>
          </w:p>
        </w:tc>
        <w:tc>
          <w:tcPr>
            <w:tcW w:type="dxa" w:w="194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TP=18, FN=3, TN=36, FP=0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9F9F9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SVM (RBF Kernel)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100" w:type="dxa"/>
              <w:right w:w="100" w:type="dxa"/>
            </w:tcMar>
            <w:shd w:fill="F9F9F9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96.49%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100" w:type="dxa"/>
              <w:right w:w="100" w:type="dxa"/>
            </w:tcMar>
            <w:shd w:fill="F9F9F9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90.48%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100" w:type="dxa"/>
              <w:right w:w="100" w:type="dxa"/>
            </w:tcMar>
            <w:shd w:fill="F9F9F9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100.00%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100" w:type="dxa"/>
              <w:right w:w="100" w:type="dxa"/>
            </w:tcMar>
            <w:shd w:fill="F9F9F9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100.00%</w:t>
            </w:r>
          </w:p>
        </w:tc>
        <w:tc>
          <w:tcPr>
            <w:tcW w:type="dxa" w:w="936"/>
            <w:tcMar>
              <w:top w:w="60" w:type="dxa"/>
              <w:bottom w:w="60" w:type="dxa"/>
              <w:left w:w="100" w:type="dxa"/>
              <w:right w:w="100" w:type="dxa"/>
            </w:tcMar>
            <w:shd w:fill="F9F9F9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0.9500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100" w:type="dxa"/>
              <w:right w:w="100" w:type="dxa"/>
            </w:tcMar>
            <w:shd w:fill="F9F9F9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0.9934</w:t>
            </w:r>
          </w:p>
        </w:tc>
        <w:tc>
          <w:tcPr>
            <w:tcW w:type="dxa" w:w="1944"/>
            <w:tcMar>
              <w:top w:w="60" w:type="dxa"/>
              <w:bottom w:w="60" w:type="dxa"/>
              <w:left w:w="100" w:type="dxa"/>
              <w:right w:w="100" w:type="dxa"/>
            </w:tcMar>
            <w:shd w:fill="F9F9F9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TP=19, FN=2, TN=36, FP=0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Random Forest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96.49%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95.24%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97.22%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95.24%</w:t>
            </w:r>
          </w:p>
        </w:tc>
        <w:tc>
          <w:tcPr>
            <w:tcW w:type="dxa" w:w="93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0.9524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0.9947</w:t>
            </w:r>
          </w:p>
        </w:tc>
        <w:tc>
          <w:tcPr>
            <w:tcW w:type="dxa" w:w="194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TP=20, FN=1, TN=35, FP=1</w:t>
            </w:r>
          </w:p>
        </w:tc>
      </w:tr>
    </w:tbl>
    <w:p>
      <w:pPr>
        <w:spacing w:before="220" w:after="60"/>
      </w:pPr>
      <w:r>
        <w:rPr>
          <w:b/>
          <w:color w:val="111111"/>
          <w:sz w:val="21"/>
        </w:rPr>
        <w:t>7. Model Checkpoint Serialization and Saved Artifacts</w:t>
      </w:r>
    </w:p>
    <w:p>
      <w:pPr>
        <w:spacing w:after="80"/>
      </w:pPr>
      <w:r>
        <w:rPr>
          <w:sz w:val="19"/>
        </w:rPr>
        <w:t>Trained models and evaluation metadata were serialized to the 'models/' directory for deployment and Experiment 6 evaluation: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fill="EFEFE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111111"/>
                <w:sz w:val="18"/>
              </w:rPr>
              <w:t>Artifact File Name</w:t>
            </w:r>
          </w:p>
        </w:tc>
        <w:tc>
          <w:tcPr>
            <w:tcW w:type="dxa" w:w="2448"/>
            <w:shd w:fill="EFEFE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111111"/>
                <w:sz w:val="18"/>
              </w:rPr>
              <w:t>Saved Object / Algorithm</w:t>
            </w:r>
          </w:p>
        </w:tc>
        <w:tc>
          <w:tcPr>
            <w:tcW w:type="dxa" w:w="2016"/>
            <w:shd w:fill="EFEFE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111111"/>
                <w:sz w:val="18"/>
              </w:rPr>
              <w:t>Format &amp; Size</w:t>
            </w:r>
          </w:p>
        </w:tc>
        <w:tc>
          <w:tcPr>
            <w:tcW w:type="dxa" w:w="2448"/>
            <w:shd w:fill="EFEFE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111111"/>
                <w:sz w:val="18"/>
              </w:rPr>
              <w:t>Clinical / Evaluation Utility</w:t>
            </w:r>
          </w:p>
        </w:tc>
      </w:tr>
      <w:tr>
        <w:tc>
          <w:tcPr>
            <w:tcW w:type="dxa" w:w="230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logistic_regression_best.pkl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L2 Logistic Regression (C=1.0)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joblib (.pkl) | 1.81 KB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Fast linear inference and interpretable odds ratios.</w:t>
            </w:r>
          </w:p>
        </w:tc>
      </w:tr>
      <w:tr>
        <w:tc>
          <w:tcPr>
            <w:tcW w:type="dxa" w:w="2304"/>
            <w:tcMar>
              <w:top w:w="60" w:type="dxa"/>
              <w:bottom w:w="60" w:type="dxa"/>
              <w:left w:w="100" w:type="dxa"/>
              <w:right w:w="100" w:type="dxa"/>
            </w:tcMar>
            <w:shd w:fill="F9F9F9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svm_rbf_best.pkl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  <w:shd w:fill="F9F9F9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Support Vector Classifier (RBF)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  <w:shd w:fill="F9F9F9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joblib (.pkl) | 18.37 KB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  <w:shd w:fill="F9F9F9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Optimal decision boundary with 100% specificity.</w:t>
            </w:r>
          </w:p>
        </w:tc>
      </w:tr>
      <w:tr>
        <w:tc>
          <w:tcPr>
            <w:tcW w:type="dxa" w:w="230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random_forest_best.pkl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Random Forest (50 Trees, Balanced)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joblib (.pkl) | 165.45 KB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Top sensitivity (95.24% recall, FN=1) for screening triage.</w:t>
            </w:r>
          </w:p>
        </w:tc>
      </w:tr>
      <w:tr>
        <w:tc>
          <w:tcPr>
            <w:tcW w:type="dxa" w:w="2304"/>
            <w:tcMar>
              <w:top w:w="60" w:type="dxa"/>
              <w:bottom w:w="60" w:type="dxa"/>
              <w:left w:w="100" w:type="dxa"/>
              <w:right w:w="100" w:type="dxa"/>
            </w:tcMar>
            <w:shd w:fill="F9F9F9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model_training_summary.json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  <w:shd w:fill="F9F9F9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JSON Experiment Metrics Manifest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  <w:shd w:fill="F9F9F9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JSON Text | 2.67 KB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  <w:shd w:fill="F9F9F9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Machine-readable record of hyperparameters and CV scores.</w:t>
            </w:r>
          </w:p>
        </w:tc>
      </w:tr>
    </w:tbl>
    <w:p>
      <w:pPr>
        <w:spacing w:before="220" w:after="60"/>
      </w:pPr>
      <w:r>
        <w:rPr>
          <w:b/>
          <w:color w:val="111111"/>
          <w:sz w:val="21"/>
        </w:rPr>
        <w:t>8. Feature Attribution and Model Interpretability</w:t>
      </w:r>
    </w:p>
    <w:p>
      <w:pPr>
        <w:spacing w:after="80"/>
      </w:pPr>
      <w:r>
        <w:rPr>
          <w:sz w:val="19"/>
        </w:rPr>
        <w:t>Model interpretability analysis confirms strong alignment with Experiment 4 Exploratory Data Analysis findings:</w:t>
      </w:r>
    </w:p>
    <w:p>
      <w:pPr>
        <w:pStyle w:val="ListBullet"/>
        <w:spacing w:after="50"/>
      </w:pPr>
      <w:r>
        <w:rPr>
          <w:b/>
          <w:sz w:val="19"/>
        </w:rPr>
        <w:t xml:space="preserve">Random Forest Gini Importances: </w:t>
      </w:r>
      <w:r>
        <w:rPr>
          <w:sz w:val="19"/>
        </w:rPr>
        <w:t>The top predictive features driving tree splits were concave_points_worst (0.162), perimeter_worst (0.134), radius_worst (0.118), area_worst (0.098), and concavity_mean (0.076).</w:t>
      </w:r>
    </w:p>
    <w:p>
      <w:pPr>
        <w:pStyle w:val="ListBullet"/>
        <w:spacing w:after="50"/>
      </w:pPr>
      <w:r>
        <w:rPr>
          <w:b/>
          <w:sz w:val="19"/>
        </w:rPr>
        <w:t xml:space="preserve">Logistic Regression Standardized Weights: </w:t>
      </w:r>
      <w:r>
        <w:rPr>
          <w:sz w:val="19"/>
        </w:rPr>
        <w:t>The largest positive coefficients (increasing cancer odds) were concave_points_worst (+1.18), radius_worst (+1.04), and texture_worst (+0.92), verifying that irregular tumor contour creases and severe size increase are primary cancer signals.</w:t>
      </w:r>
    </w:p>
    <w:p>
      <w:pPr>
        <w:spacing w:before="220" w:after="60"/>
      </w:pPr>
      <w:r>
        <w:rPr>
          <w:b/>
          <w:color w:val="111111"/>
          <w:sz w:val="21"/>
        </w:rPr>
        <w:t>9. Known Modeling Limitations and Risk Mitigation</w:t>
      </w:r>
    </w:p>
    <w:p>
      <w:pPr>
        <w:pStyle w:val="ListBullet"/>
        <w:spacing w:after="50"/>
      </w:pPr>
      <w:r>
        <w:rPr>
          <w:b/>
          <w:sz w:val="19"/>
        </w:rPr>
        <w:t xml:space="preserve">False Negative Severity: </w:t>
      </w:r>
      <w:r>
        <w:rPr>
          <w:sz w:val="19"/>
        </w:rPr>
        <w:t>In oncology triage, missed cancer cases (False Negatives) carry severe prognosis penalties. Random Forest minimized FN to 1, while Logistic Regression produced 3 FNs under the default 0.50 threshold, requiring decision threshold calibration in Experiment 6.</w:t>
      </w:r>
    </w:p>
    <w:p>
      <w:pPr>
        <w:pStyle w:val="ListBullet"/>
        <w:spacing w:after="50"/>
      </w:pPr>
      <w:r>
        <w:rPr>
          <w:b/>
          <w:sz w:val="19"/>
        </w:rPr>
        <w:t xml:space="preserve">Computational Complexity: </w:t>
      </w:r>
      <w:r>
        <w:rPr>
          <w:sz w:val="19"/>
        </w:rPr>
        <w:t>Random Forest required 221.04 seconds for grid search over 270 fit candidates, whereas SVM and Logistic Regression completed in &lt;8 seconds.</w:t>
      </w:r>
    </w:p>
    <w:p>
      <w:pPr>
        <w:pStyle w:val="ListBullet"/>
        <w:spacing w:after="50"/>
      </w:pPr>
      <w:r>
        <w:rPr>
          <w:b/>
          <w:sz w:val="19"/>
        </w:rPr>
        <w:t xml:space="preserve">Kernel Calibration: </w:t>
      </w:r>
      <w:r>
        <w:rPr>
          <w:sz w:val="19"/>
        </w:rPr>
        <w:t>SVM with RBF kernel relies on Platt scaling for posterior probability generation; confidence calibration must be audited before clinical deployment.</w:t>
      </w:r>
    </w:p>
    <w:p>
      <w:pPr>
        <w:spacing w:before="220" w:after="60"/>
      </w:pPr>
      <w:r>
        <w:rPr>
          <w:b/>
          <w:color w:val="111111"/>
          <w:sz w:val="21"/>
        </w:rPr>
        <w:t>10. Conclusion</w:t>
      </w:r>
    </w:p>
    <w:p>
      <w:pPr>
        <w:spacing w:after="80"/>
      </w:pPr>
      <w:r>
        <w:rPr>
          <w:sz w:val="19"/>
        </w:rPr>
        <w:t>Experiment 5 successfully trained, hyperparameter-tuned, and cross-validated three candidate classifiers on the Breast Cancer Wisconsin dataset. SVM with RBF kernel achieved the highest cross-validation benchmark (0.9960 ROC-AUC, 97.58% accuracy, 98.89% precision), while Random Forest achieved the highest clinical sensitivity (95.24% malignant recall, 1 False Negative) on the validation holdout set. All model checkpoints and metadata manifests have been serialized and validated, establishing a robust foundation for ensemble modeling, threshold calibration, and error analysis in Experiment 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333333"/>
        <w:sz w:val="19"/>
      </w:rPr>
      <w:t>Rahul Kumar - 230160223017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333333"/>
        <w:sz w:val="19"/>
      </w:rPr>
      <w:t>Rahul Kumar - 230160223017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