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28036C">
      <w:pPr>
        <w:pBdr/>
        <w:spacing/>
        <w:ind/>
        <w:rPr>
          <w:highlight w:val="none"/>
        </w:rPr>
      </w:pPr>
      <w:r>
        <w:rPr>
          <w:highlight w:val="none"/>
        </w:rPr>
        <w:t xml:space="preserve">Rental </w:t>
      </w:r>
      <w:r>
        <w:rPr>
          <w:highlight w:val="none"/>
        </w:rPr>
      </w:r>
    </w:p>
    <w:p w14:paraId="79692692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Flats</w:t>
      </w:r>
      <w:r>
        <w:rPr>
          <w:highlight w:val="none"/>
        </w:rPr>
      </w:r>
      <w:r>
        <w:rPr>
          <w:highlight w:val="none"/>
        </w:rPr>
      </w:r>
    </w:p>
    <w:p w14:paraId="1AA3FCD6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Villas</w:t>
      </w:r>
      <w:r>
        <w:rPr>
          <w:highlight w:val="none"/>
        </w:rPr>
      </w:r>
      <w:r>
        <w:rPr>
          <w:highlight w:val="none"/>
        </w:rPr>
      </w:r>
    </w:p>
    <w:p w14:paraId="24127E1E">
      <w:pPr>
        <w:pBdr/>
        <w:spacing/>
        <w:ind/>
        <w:rPr>
          <w:highlight w:val="none"/>
        </w:rPr>
      </w:pPr>
      <w:r>
        <w:rPr>
          <w:highlight w:val="none"/>
        </w:rPr>
        <w:t xml:space="preserve">Commercial</w:t>
      </w:r>
      <w:r>
        <w:rPr>
          <w:highlight w:val="none"/>
        </w:rPr>
      </w:r>
      <w:r>
        <w:rPr>
          <w:highlight w:val="none"/>
        </w:rPr>
      </w:r>
    </w:p>
    <w:p w14:paraId="40378A1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Shops</w:t>
      </w:r>
      <w:r>
        <w:rPr>
          <w:highlight w:val="none"/>
        </w:rPr>
      </w:r>
      <w:r>
        <w:rPr>
          <w:highlight w:val="none"/>
        </w:rPr>
      </w:r>
    </w:p>
    <w:p w14:paraId="2EEDDBD9">
      <w:pPr>
        <w:pBdr/>
        <w:spacing/>
        <w:ind/>
        <w:rPr>
          <w:highlight w:val="none"/>
        </w:rPr>
      </w:pPr>
      <w:r>
        <w:rPr>
          <w:highlight w:val="none"/>
        </w:rPr>
        <w:t xml:space="preserve">Residential  :</w:t>
      </w:r>
      <w:r>
        <w:rPr>
          <w:highlight w:val="none"/>
        </w:rPr>
      </w:r>
    </w:p>
    <w:p w14:paraId="17A4CA3A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Flats</w:t>
      </w:r>
      <w:r>
        <w:rPr>
          <w:highlight w:val="none"/>
        </w:rPr>
      </w:r>
    </w:p>
    <w:p w14:paraId="6E00E9A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Villas</w:t>
      </w:r>
      <w:r>
        <w:rPr>
          <w:highlight w:val="none"/>
        </w:rPr>
      </w:r>
    </w:p>
    <w:p w14:paraId="5E1A934F">
      <w:pPr>
        <w:pBdr/>
        <w:spacing/>
        <w:ind/>
        <w:rPr>
          <w:highlight w:val="none"/>
        </w:rPr>
      </w:pPr>
      <w:r>
        <w:rPr>
          <w:highlight w:val="none"/>
        </w:rPr>
        <w:t xml:space="preserve">Locality : Pune West, Pimpari Chinchwad (only PCMC) will be included </w:t>
      </w:r>
      <w:r>
        <w:rPr>
          <w:highlight w:val="none"/>
        </w:rPr>
      </w:r>
    </w:p>
    <w:p w14:paraId="73930D94">
      <w:pPr>
        <w:pBdr/>
        <w:spacing/>
        <w:ind/>
        <w:rPr/>
      </w:pPr>
      <w:r/>
      <w:r/>
      <w:r/>
    </w:p>
    <w:p w14:paraId="7EB841C2">
      <w:pPr>
        <w:pBdr/>
        <w:spacing/>
        <w:ind/>
        <w:rPr/>
      </w:pPr>
      <w:r/>
      <w:r/>
      <w:r/>
    </w:p>
    <w:p w14:paraId="27D81A55">
      <w:pPr>
        <w:pBdr/>
        <w:spacing/>
        <w:ind/>
        <w:rPr/>
      </w:pPr>
      <w:r/>
      <w:r/>
      <w:r/>
    </w:p>
    <w:p w14:paraId="1F5D6815">
      <w:pPr>
        <w:pBdr/>
        <w:spacing/>
        <w:ind/>
        <w:rPr/>
      </w:pPr>
      <w:r>
        <w:rPr>
          <w:highlight w:val="none"/>
        </w:rPr>
        <w:t xml:space="preserve">Rental , commercial, resale, resedential </w:t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2026-03-02T11:20:05Z</dcterms:modified>
</cp:coreProperties>
</file>