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146FF" w14:textId="702E65A8" w:rsidR="00256436" w:rsidRDefault="00AE4299" w:rsidP="00AE4299">
      <w:pPr>
        <w:pStyle w:val="Heading1"/>
        <w:jc w:val="center"/>
      </w:pPr>
      <w:r>
        <w:t>SE – Lab 3</w:t>
      </w:r>
    </w:p>
    <w:tbl>
      <w:tblPr>
        <w:tblStyle w:val="TableGrid"/>
        <w:tblW w:w="0" w:type="auto"/>
        <w:tblLook w:val="04A0" w:firstRow="1" w:lastRow="0" w:firstColumn="1" w:lastColumn="0" w:noHBand="0" w:noVBand="1"/>
      </w:tblPr>
      <w:tblGrid>
        <w:gridCol w:w="4508"/>
        <w:gridCol w:w="4508"/>
      </w:tblGrid>
      <w:tr w:rsidR="00AE4299" w14:paraId="7A42AF30" w14:textId="77777777" w:rsidTr="00AE4299">
        <w:tc>
          <w:tcPr>
            <w:tcW w:w="4508" w:type="dxa"/>
          </w:tcPr>
          <w:p w14:paraId="144E7F70" w14:textId="678A233A" w:rsidR="00AE4299" w:rsidRPr="00AE4299" w:rsidRDefault="00AE4299" w:rsidP="00AE4299">
            <w:pPr>
              <w:jc w:val="center"/>
              <w:rPr>
                <w:sz w:val="36"/>
                <w:szCs w:val="36"/>
              </w:rPr>
            </w:pPr>
            <w:r>
              <w:rPr>
                <w:sz w:val="36"/>
                <w:szCs w:val="36"/>
              </w:rPr>
              <w:t>Name</w:t>
            </w:r>
          </w:p>
        </w:tc>
        <w:tc>
          <w:tcPr>
            <w:tcW w:w="4508" w:type="dxa"/>
          </w:tcPr>
          <w:p w14:paraId="227B9653" w14:textId="78E45D38" w:rsidR="00AE4299" w:rsidRPr="00AE4299" w:rsidRDefault="00AE4299" w:rsidP="00AE4299">
            <w:pPr>
              <w:jc w:val="center"/>
              <w:rPr>
                <w:sz w:val="36"/>
                <w:szCs w:val="36"/>
              </w:rPr>
            </w:pPr>
            <w:r>
              <w:rPr>
                <w:sz w:val="36"/>
                <w:szCs w:val="36"/>
              </w:rPr>
              <w:t>Rahul M S</w:t>
            </w:r>
          </w:p>
        </w:tc>
      </w:tr>
      <w:tr w:rsidR="00AE4299" w14:paraId="606AC064" w14:textId="77777777" w:rsidTr="00AE4299">
        <w:tc>
          <w:tcPr>
            <w:tcW w:w="4508" w:type="dxa"/>
          </w:tcPr>
          <w:p w14:paraId="6B47B7C0" w14:textId="42590EF1" w:rsidR="00AE4299" w:rsidRPr="00AE4299" w:rsidRDefault="00AE4299" w:rsidP="00AE4299">
            <w:pPr>
              <w:jc w:val="center"/>
              <w:rPr>
                <w:sz w:val="36"/>
                <w:szCs w:val="36"/>
              </w:rPr>
            </w:pPr>
            <w:r>
              <w:rPr>
                <w:sz w:val="36"/>
                <w:szCs w:val="36"/>
              </w:rPr>
              <w:t>SRN</w:t>
            </w:r>
          </w:p>
        </w:tc>
        <w:tc>
          <w:tcPr>
            <w:tcW w:w="4508" w:type="dxa"/>
          </w:tcPr>
          <w:p w14:paraId="39612F92" w14:textId="4443E02D" w:rsidR="00AE4299" w:rsidRPr="00AE4299" w:rsidRDefault="00AE4299" w:rsidP="00AE4299">
            <w:pPr>
              <w:jc w:val="center"/>
              <w:rPr>
                <w:sz w:val="36"/>
                <w:szCs w:val="36"/>
              </w:rPr>
            </w:pPr>
            <w:r>
              <w:rPr>
                <w:sz w:val="36"/>
                <w:szCs w:val="36"/>
              </w:rPr>
              <w:t>PES1UG24CS359</w:t>
            </w:r>
          </w:p>
        </w:tc>
      </w:tr>
      <w:tr w:rsidR="00AE4299" w14:paraId="13E5A493" w14:textId="77777777" w:rsidTr="00AE4299">
        <w:tc>
          <w:tcPr>
            <w:tcW w:w="4508" w:type="dxa"/>
          </w:tcPr>
          <w:p w14:paraId="7A6399AF" w14:textId="1842C313" w:rsidR="00AE4299" w:rsidRPr="00AE4299" w:rsidRDefault="00AE4299" w:rsidP="00AE4299">
            <w:pPr>
              <w:jc w:val="center"/>
              <w:rPr>
                <w:sz w:val="36"/>
                <w:szCs w:val="36"/>
              </w:rPr>
            </w:pPr>
            <w:r>
              <w:rPr>
                <w:sz w:val="36"/>
                <w:szCs w:val="36"/>
              </w:rPr>
              <w:t>Class</w:t>
            </w:r>
          </w:p>
        </w:tc>
        <w:tc>
          <w:tcPr>
            <w:tcW w:w="4508" w:type="dxa"/>
          </w:tcPr>
          <w:p w14:paraId="5A0BDB37" w14:textId="498101BD" w:rsidR="00AE4299" w:rsidRPr="00AE4299" w:rsidRDefault="00AE4299" w:rsidP="00AE4299">
            <w:pPr>
              <w:jc w:val="center"/>
              <w:rPr>
                <w:sz w:val="36"/>
                <w:szCs w:val="36"/>
              </w:rPr>
            </w:pPr>
            <w:r>
              <w:rPr>
                <w:sz w:val="36"/>
                <w:szCs w:val="36"/>
              </w:rPr>
              <w:t>5-F</w:t>
            </w:r>
          </w:p>
        </w:tc>
      </w:tr>
    </w:tbl>
    <w:p w14:paraId="50DD29EC" w14:textId="77777777" w:rsidR="00AE4299" w:rsidRDefault="00AE4299" w:rsidP="00AE4299"/>
    <w:p w14:paraId="686E5B65" w14:textId="77777777" w:rsidR="00AE4299" w:rsidRPr="00AE4299" w:rsidRDefault="00AE4299" w:rsidP="00AE4299">
      <w:pPr>
        <w:rPr>
          <w:b/>
          <w:bCs/>
          <w:sz w:val="30"/>
          <w:szCs w:val="30"/>
        </w:rPr>
      </w:pPr>
      <w:r w:rsidRPr="00AE4299">
        <w:rPr>
          <w:b/>
          <w:bCs/>
          <w:sz w:val="30"/>
          <w:szCs w:val="30"/>
        </w:rPr>
        <w:t>Architecture Selection – Virtual Technical Conference Platform</w:t>
      </w:r>
    </w:p>
    <w:p w14:paraId="6CB50E00" w14:textId="77777777" w:rsidR="00AE4299" w:rsidRPr="00AE4299" w:rsidRDefault="00AE4299" w:rsidP="00AE4299">
      <w:pPr>
        <w:rPr>
          <w:b/>
          <w:bCs/>
          <w:sz w:val="26"/>
          <w:szCs w:val="26"/>
        </w:rPr>
      </w:pPr>
      <w:r w:rsidRPr="00AE4299">
        <w:rPr>
          <w:b/>
          <w:bCs/>
          <w:sz w:val="26"/>
          <w:szCs w:val="26"/>
        </w:rPr>
        <w:t>Architectural Choice</w:t>
      </w:r>
    </w:p>
    <w:p w14:paraId="78E70DCF" w14:textId="77777777" w:rsidR="00AE4299" w:rsidRPr="00AE4299" w:rsidRDefault="00AE4299" w:rsidP="00AE4299">
      <w:r w:rsidRPr="00AE4299">
        <w:t xml:space="preserve">We chose </w:t>
      </w:r>
      <w:r w:rsidRPr="00AE4299">
        <w:rPr>
          <w:b/>
          <w:bCs/>
        </w:rPr>
        <w:t>Microservices Architecture</w:t>
      </w:r>
      <w:r w:rsidRPr="00AE4299">
        <w:t xml:space="preserve"> for the Virtual Technical Conference Platform.</w:t>
      </w:r>
    </w:p>
    <w:p w14:paraId="5309A91F" w14:textId="77777777" w:rsidR="00AE4299" w:rsidRPr="00AE4299" w:rsidRDefault="00AE4299" w:rsidP="00AE4299">
      <w:pPr>
        <w:rPr>
          <w:b/>
          <w:bCs/>
          <w:sz w:val="26"/>
          <w:szCs w:val="26"/>
        </w:rPr>
      </w:pPr>
      <w:r w:rsidRPr="00AE4299">
        <w:rPr>
          <w:b/>
          <w:bCs/>
          <w:sz w:val="26"/>
          <w:szCs w:val="26"/>
        </w:rPr>
        <w:t>Reason 1 – Separation of Functional Areas</w:t>
      </w:r>
    </w:p>
    <w:p w14:paraId="34A9EBE5" w14:textId="77777777" w:rsidR="00AE4299" w:rsidRPr="00AE4299" w:rsidRDefault="00AE4299" w:rsidP="00AE4299">
      <w:r w:rsidRPr="00AE4299">
        <w:t>The platform contains distinct functions such as manuscript management, reviewer assignment, conference scheduling, and live Q&amp;A. Dividing these functions into separate services makes each part easier to develop, maintain, and modify independently.</w:t>
      </w:r>
    </w:p>
    <w:p w14:paraId="75CB7DAA" w14:textId="77777777" w:rsidR="00AE4299" w:rsidRPr="00AE4299" w:rsidRDefault="00AE4299" w:rsidP="00AE4299">
      <w:pPr>
        <w:rPr>
          <w:b/>
          <w:bCs/>
          <w:sz w:val="26"/>
          <w:szCs w:val="26"/>
        </w:rPr>
      </w:pPr>
      <w:r w:rsidRPr="00AE4299">
        <w:rPr>
          <w:b/>
          <w:bCs/>
          <w:sz w:val="26"/>
          <w:szCs w:val="26"/>
        </w:rPr>
        <w:t>Reason 2 – Independent Handling of Workloads</w:t>
      </w:r>
    </w:p>
    <w:p w14:paraId="1AA0DBEB" w14:textId="77777777" w:rsidR="00AE4299" w:rsidRPr="00AE4299" w:rsidRDefault="00AE4299" w:rsidP="00AE4299">
      <w:r w:rsidRPr="00AE4299">
        <w:t xml:space="preserve">The platform has different performance requirements. Conference schedule generation must be completed within </w:t>
      </w:r>
      <w:r w:rsidRPr="00AE4299">
        <w:rPr>
          <w:b/>
          <w:bCs/>
        </w:rPr>
        <w:t>10 seconds</w:t>
      </w:r>
      <w:r w:rsidRPr="00AE4299">
        <w:t xml:space="preserve">, while the live Q&amp;A queue must be updated within </w:t>
      </w:r>
      <w:r w:rsidRPr="00AE4299">
        <w:rPr>
          <w:b/>
          <w:bCs/>
        </w:rPr>
        <w:t>2 seconds for at least 95% of updates</w:t>
      </w:r>
      <w:r w:rsidRPr="00AE4299">
        <w:t xml:space="preserve"> under the defined load. Separate services allow these different workloads to be handled independently. </w:t>
      </w:r>
    </w:p>
    <w:p w14:paraId="28219546" w14:textId="77777777" w:rsidR="00AE4299" w:rsidRPr="00AE4299" w:rsidRDefault="00AE4299" w:rsidP="00AE4299">
      <w:pPr>
        <w:rPr>
          <w:b/>
          <w:bCs/>
          <w:sz w:val="26"/>
          <w:szCs w:val="26"/>
        </w:rPr>
      </w:pPr>
      <w:r w:rsidRPr="00AE4299">
        <w:rPr>
          <w:b/>
          <w:bCs/>
          <w:sz w:val="26"/>
          <w:szCs w:val="26"/>
        </w:rPr>
        <w:t>Security Advantage</w:t>
      </w:r>
    </w:p>
    <w:p w14:paraId="2B685C2C" w14:textId="77777777" w:rsidR="00AE4299" w:rsidRPr="00AE4299" w:rsidRDefault="00AE4299" w:rsidP="00AE4299">
      <w:r w:rsidRPr="00AE4299">
        <w:t xml:space="preserve">An </w:t>
      </w:r>
      <w:r w:rsidRPr="00AE4299">
        <w:rPr>
          <w:b/>
          <w:bCs/>
        </w:rPr>
        <w:t>Authentication Service</w:t>
      </w:r>
      <w:r w:rsidRPr="00AE4299">
        <w:t xml:space="preserve"> can verify users and their roles before allowing access to system functions. This helps ensure that operations are restricted according to roles such as Conference Author, Track Chair, Reviewer, and Session Participant.</w:t>
      </w:r>
    </w:p>
    <w:p w14:paraId="5DA4D13C" w14:textId="77777777" w:rsidR="00AE4299" w:rsidRPr="00AE4299" w:rsidRDefault="00AE4299" w:rsidP="00AE4299">
      <w:pPr>
        <w:rPr>
          <w:b/>
          <w:bCs/>
          <w:sz w:val="26"/>
          <w:szCs w:val="26"/>
        </w:rPr>
      </w:pPr>
      <w:r w:rsidRPr="00AE4299">
        <w:rPr>
          <w:b/>
          <w:bCs/>
          <w:sz w:val="26"/>
          <w:szCs w:val="26"/>
        </w:rPr>
        <w:t>Performance Benefit</w:t>
      </w:r>
    </w:p>
    <w:p w14:paraId="16FBCF0E" w14:textId="77777777" w:rsidR="00AE4299" w:rsidRPr="00AE4299" w:rsidRDefault="00AE4299" w:rsidP="00AE4299">
      <w:r w:rsidRPr="00AE4299">
        <w:t xml:space="preserve">The </w:t>
      </w:r>
      <w:r w:rsidRPr="00AE4299">
        <w:rPr>
          <w:b/>
          <w:bCs/>
        </w:rPr>
        <w:t>Live Q&amp;A Service</w:t>
      </w:r>
      <w:r w:rsidRPr="00AE4299">
        <w:t xml:space="preserve"> can be optimized for frequent question and upvote requests, while the </w:t>
      </w:r>
      <w:r w:rsidRPr="00AE4299">
        <w:rPr>
          <w:b/>
          <w:bCs/>
        </w:rPr>
        <w:t>Scheduling Service</w:t>
      </w:r>
      <w:r w:rsidRPr="00AE4299">
        <w:t xml:space="preserve"> can independently handle schedule-generation operations. This prevents one workload from unnecessarily affecting another.</w:t>
      </w:r>
    </w:p>
    <w:p w14:paraId="554300E9" w14:textId="77777777" w:rsidR="00AE4299" w:rsidRPr="00AE4299" w:rsidRDefault="00AE4299" w:rsidP="00AE4299">
      <w:pPr>
        <w:rPr>
          <w:b/>
          <w:bCs/>
          <w:sz w:val="26"/>
          <w:szCs w:val="26"/>
        </w:rPr>
      </w:pPr>
      <w:r w:rsidRPr="00AE4299">
        <w:rPr>
          <w:b/>
          <w:bCs/>
          <w:sz w:val="26"/>
          <w:szCs w:val="26"/>
        </w:rPr>
        <w:t>Conclusion</w:t>
      </w:r>
    </w:p>
    <w:p w14:paraId="1406CBF4" w14:textId="7E3F7F0A" w:rsidR="00AE4299" w:rsidRPr="00AE4299" w:rsidRDefault="00AE4299" w:rsidP="00AE4299">
      <w:r w:rsidRPr="00AE4299">
        <w:t>Although Microservices Architecture introduces additional communication complexity, its separation of services, independent handling of workloads, and fault isolation make it suitable for the Virtual Technical Conference Platform.</w:t>
      </w:r>
    </w:p>
    <w:sectPr w:rsidR="00AE4299" w:rsidRPr="00AE42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99"/>
    <w:rsid w:val="000D27CD"/>
    <w:rsid w:val="000E4E50"/>
    <w:rsid w:val="00256436"/>
    <w:rsid w:val="00AE4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A20C7"/>
  <w15:chartTrackingRefBased/>
  <w15:docId w15:val="{69BA0115-EAD5-4B36-BA30-3BA0395A9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99"/>
    <w:rPr>
      <w:rFonts w:eastAsiaTheme="majorEastAsia" w:cstheme="majorBidi"/>
      <w:color w:val="272727" w:themeColor="text1" w:themeTint="D8"/>
    </w:rPr>
  </w:style>
  <w:style w:type="paragraph" w:styleId="Title">
    <w:name w:val="Title"/>
    <w:basedOn w:val="Normal"/>
    <w:next w:val="Normal"/>
    <w:link w:val="TitleChar"/>
    <w:uiPriority w:val="10"/>
    <w:qFormat/>
    <w:rsid w:val="00AE4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99"/>
    <w:pPr>
      <w:spacing w:before="160"/>
      <w:jc w:val="center"/>
    </w:pPr>
    <w:rPr>
      <w:i/>
      <w:iCs/>
      <w:color w:val="404040" w:themeColor="text1" w:themeTint="BF"/>
    </w:rPr>
  </w:style>
  <w:style w:type="character" w:customStyle="1" w:styleId="QuoteChar">
    <w:name w:val="Quote Char"/>
    <w:basedOn w:val="DefaultParagraphFont"/>
    <w:link w:val="Quote"/>
    <w:uiPriority w:val="29"/>
    <w:rsid w:val="00AE4299"/>
    <w:rPr>
      <w:i/>
      <w:iCs/>
      <w:color w:val="404040" w:themeColor="text1" w:themeTint="BF"/>
    </w:rPr>
  </w:style>
  <w:style w:type="paragraph" w:styleId="ListParagraph">
    <w:name w:val="List Paragraph"/>
    <w:basedOn w:val="Normal"/>
    <w:uiPriority w:val="34"/>
    <w:qFormat/>
    <w:rsid w:val="00AE4299"/>
    <w:pPr>
      <w:ind w:left="720"/>
      <w:contextualSpacing/>
    </w:pPr>
  </w:style>
  <w:style w:type="character" w:styleId="IntenseEmphasis">
    <w:name w:val="Intense Emphasis"/>
    <w:basedOn w:val="DefaultParagraphFont"/>
    <w:uiPriority w:val="21"/>
    <w:qFormat/>
    <w:rsid w:val="00AE4299"/>
    <w:rPr>
      <w:i/>
      <w:iCs/>
      <w:color w:val="0F4761" w:themeColor="accent1" w:themeShade="BF"/>
    </w:rPr>
  </w:style>
  <w:style w:type="paragraph" w:styleId="IntenseQuote">
    <w:name w:val="Intense Quote"/>
    <w:basedOn w:val="Normal"/>
    <w:next w:val="Normal"/>
    <w:link w:val="IntenseQuoteChar"/>
    <w:uiPriority w:val="30"/>
    <w:qFormat/>
    <w:rsid w:val="00AE4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299"/>
    <w:rPr>
      <w:i/>
      <w:iCs/>
      <w:color w:val="0F4761" w:themeColor="accent1" w:themeShade="BF"/>
    </w:rPr>
  </w:style>
  <w:style w:type="character" w:styleId="IntenseReference">
    <w:name w:val="Intense Reference"/>
    <w:basedOn w:val="DefaultParagraphFont"/>
    <w:uiPriority w:val="32"/>
    <w:qFormat/>
    <w:rsid w:val="00AE4299"/>
    <w:rPr>
      <w:b/>
      <w:bCs/>
      <w:smallCaps/>
      <w:color w:val="0F4761" w:themeColor="accent1" w:themeShade="BF"/>
      <w:spacing w:val="5"/>
    </w:rPr>
  </w:style>
  <w:style w:type="table" w:styleId="TableGrid">
    <w:name w:val="Table Grid"/>
    <w:basedOn w:val="TableNormal"/>
    <w:uiPriority w:val="39"/>
    <w:rsid w:val="00AE4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 Shettigar</dc:creator>
  <cp:keywords/>
  <dc:description/>
  <cp:lastModifiedBy>Rahul M Shettigar</cp:lastModifiedBy>
  <cp:revision>1</cp:revision>
  <cp:lastPrinted>2026-09-12T15:35:00Z</cp:lastPrinted>
  <dcterms:created xsi:type="dcterms:W3CDTF">2026-09-12T15:30:00Z</dcterms:created>
  <dcterms:modified xsi:type="dcterms:W3CDTF">2026-09-12T15:35:00Z</dcterms:modified>
</cp:coreProperties>
</file>