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B57"/>
          <w:sz w:val="64"/>
          <w:szCs w:val="64"/>
        </w:rPr>
        <w:t xml:space="preserve">HealthID AI</w:t>
      </w:r>
    </w:p>
    <w:p>
      <w:pPr>
        <w:spacing w:after="100" w:before="200"/>
        <w:jc w:val="center"/>
      </w:pPr>
      <w:r>
        <w:rPr>
          <w:color w:val="0E7C7B"/>
          <w:sz w:val="28"/>
          <w:szCs w:val="28"/>
        </w:rPr>
        <w:t xml:space="preserve">AI-Powered Unified Patient Health Record Platform</w:t>
      </w:r>
    </w:p>
    <w:p>
      <w:pPr>
        <w:spacing w:after="600" w:before="0"/>
        <w:jc w:val="center"/>
      </w:pPr>
      <w:r>
        <w:rPr>
          <w:i/>
          <w:iCs/>
          <w:color w:val="666666"/>
          <w:sz w:val="22"/>
          <w:szCs w:val="22"/>
        </w:rPr>
        <w:t xml:space="preserve">Master Product &amp; Business Plan  —  v2 (India Focus: Underserved Providers)</w:t>
      </w:r>
    </w:p>
    <w:p>
      <w:pPr>
        <w:spacing w:before="800"/>
        <w:jc w:val="center"/>
      </w:pPr>
      <w:r>
        <w:rPr>
          <w:i/>
          <w:iCs/>
          <w:color w:val="1F3B57"/>
          <w:sz w:val="24"/>
          <w:szCs w:val="24"/>
        </w:rPr>
        <w:t xml:space="preserve">“One Patient. One Health Identity. Anywhere, Anytime.”</w:t>
      </w:r>
    </w:p>
    <w:p>
      <w:r>
        <w:br w:type="page"/>
      </w:r>
    </w:p>
    <w:p>
      <w:pPr>
        <w:pStyle w:val="Heading1"/>
        <w:spacing w:after="200" w:before="400"/>
      </w:pPr>
      <w:r>
        <w:t xml:space="preserve">Table of Contents</w:t>
      </w:r>
    </w:p>
    <w:p>
      <w:pPr>
        <w:tabs>
          <w:tab w:val="right" w:pos="9026" w:leader="dot"/>
        </w:tabs>
        <w:spacing w:after="120"/>
      </w:pPr>
      <w:r>
        <w:rPr>
          <w:b/>
          <w:bCs/>
          <w:color w:val="1F3B57"/>
          <w:sz w:val="22"/>
          <w:szCs w:val="22"/>
        </w:rPr>
        <w:t xml:space="preserve">1. Executive Summary</w:t>
      </w:r>
      <w:r>
        <w:rPr>
          <w:b/>
          <w:bCs/>
          <w:color w:val="1F3B57"/>
          <w:sz w:val="22"/>
          <w:szCs w:val="22"/>
        </w:rPr>
        <w:t xml:space="preserve">	3</w:t>
      </w:r>
    </w:p>
    <w:p>
      <w:pPr>
        <w:tabs>
          <w:tab w:val="right" w:pos="9026" w:leader="dot"/>
        </w:tabs>
        <w:spacing w:after="120"/>
      </w:pPr>
      <w:r>
        <w:rPr>
          <w:b/>
          <w:bCs/>
          <w:color w:val="1F3B57"/>
          <w:sz w:val="22"/>
          <w:szCs w:val="22"/>
        </w:rPr>
        <w:t xml:space="preserve">2. Introduction &amp; Problem Statement</w:t>
      </w:r>
      <w:r>
        <w:rPr>
          <w:b/>
          <w:bCs/>
          <w:color w:val="1F3B57"/>
          <w:sz w:val="22"/>
          <w:szCs w:val="22"/>
        </w:rPr>
        <w:t xml:space="preserve">	3</w:t>
      </w:r>
    </w:p>
    <w:p>
      <w:pPr>
        <w:tabs>
          <w:tab w:val="right" w:pos="9026" w:leader="dot"/>
        </w:tabs>
        <w:spacing w:after="120"/>
      </w:pPr>
      <w:r>
        <w:rPr>
          <w:b/>
          <w:bCs/>
          <w:color w:val="1F3B57"/>
          <w:sz w:val="22"/>
          <w:szCs w:val="22"/>
        </w:rPr>
        <w:t xml:space="preserve">3. Market Reality &amp; Confirmed Gaps</w:t>
      </w:r>
      <w:r>
        <w:rPr>
          <w:b/>
          <w:bCs/>
          <w:color w:val="1F3B57"/>
          <w:sz w:val="22"/>
          <w:szCs w:val="22"/>
        </w:rPr>
        <w:t xml:space="preserve">	3</w:t>
      </w:r>
    </w:p>
    <w:p>
      <w:pPr>
        <w:tabs>
          <w:tab w:val="right" w:pos="9026" w:leader="dot"/>
        </w:tabs>
        <w:spacing w:after="120"/>
      </w:pPr>
      <w:r>
        <w:rPr>
          <w:b/>
          <w:bCs/>
          <w:color w:val="1F3B57"/>
          <w:sz w:val="22"/>
          <w:szCs w:val="22"/>
        </w:rPr>
        <w:t xml:space="preserve">4. Positioning</w:t>
      </w:r>
      <w:r>
        <w:rPr>
          <w:b/>
          <w:bCs/>
          <w:color w:val="1F3B57"/>
          <w:sz w:val="22"/>
          <w:szCs w:val="22"/>
        </w:rPr>
        <w:t xml:space="preserve">	4</w:t>
      </w:r>
    </w:p>
    <w:p>
      <w:pPr>
        <w:tabs>
          <w:tab w:val="right" w:pos="9026" w:leader="dot"/>
        </w:tabs>
        <w:spacing w:after="120"/>
      </w:pPr>
      <w:r>
        <w:rPr>
          <w:b/>
          <w:bCs/>
          <w:color w:val="1F3B57"/>
          <w:sz w:val="22"/>
          <w:szCs w:val="22"/>
        </w:rPr>
        <w:t xml:space="preserve">5. Target Segments — Two-Tier Approach</w:t>
      </w:r>
      <w:r>
        <w:rPr>
          <w:b/>
          <w:bCs/>
          <w:color w:val="1F3B57"/>
          <w:sz w:val="22"/>
          <w:szCs w:val="22"/>
        </w:rPr>
        <w:t xml:space="preserve">	4</w:t>
      </w:r>
    </w:p>
    <w:p>
      <w:pPr>
        <w:tabs>
          <w:tab w:val="right" w:pos="9026" w:leader="dot"/>
        </w:tabs>
        <w:spacing w:after="120"/>
      </w:pPr>
      <w:r>
        <w:rPr>
          <w:b/>
          <w:bCs/>
          <w:color w:val="1F3B57"/>
          <w:sz w:val="22"/>
          <w:szCs w:val="22"/>
        </w:rPr>
        <w:t xml:space="preserve">6. System Architecture (Overview)</w:t>
      </w:r>
      <w:r>
        <w:rPr>
          <w:b/>
          <w:bCs/>
          <w:color w:val="1F3B57"/>
          <w:sz w:val="22"/>
          <w:szCs w:val="22"/>
        </w:rPr>
        <w:t xml:space="preserve">	5</w:t>
      </w:r>
    </w:p>
    <w:p>
      <w:pPr>
        <w:tabs>
          <w:tab w:val="right" w:pos="9026" w:leader="dot"/>
        </w:tabs>
        <w:spacing w:after="120"/>
      </w:pPr>
      <w:r>
        <w:rPr>
          <w:b/>
          <w:bCs/>
          <w:color w:val="1F3B57"/>
          <w:sz w:val="22"/>
          <w:szCs w:val="22"/>
        </w:rPr>
        <w:t xml:space="preserve">7. Detailed Features</w:t>
      </w:r>
      <w:r>
        <w:rPr>
          <w:b/>
          <w:bCs/>
          <w:color w:val="1F3B57"/>
          <w:sz w:val="22"/>
          <w:szCs w:val="22"/>
        </w:rPr>
        <w:t xml:space="preserve">	6</w:t>
      </w:r>
    </w:p>
    <w:p>
      <w:pPr>
        <w:tabs>
          <w:tab w:val="right" w:pos="9026" w:leader="dot"/>
        </w:tabs>
        <w:spacing w:after="120"/>
      </w:pPr>
      <w:r>
        <w:rPr>
          <w:b/>
          <w:bCs/>
          <w:color w:val="1F3B57"/>
          <w:sz w:val="22"/>
          <w:szCs w:val="22"/>
        </w:rPr>
        <w:t xml:space="preserve">8. Business Model</w:t>
      </w:r>
      <w:r>
        <w:rPr>
          <w:b/>
          <w:bCs/>
          <w:color w:val="1F3B57"/>
          <w:sz w:val="22"/>
          <w:szCs w:val="22"/>
        </w:rPr>
        <w:t xml:space="preserve">	7</w:t>
      </w:r>
    </w:p>
    <w:p>
      <w:pPr>
        <w:tabs>
          <w:tab w:val="right" w:pos="9026" w:leader="dot"/>
        </w:tabs>
        <w:spacing w:after="120"/>
      </w:pPr>
      <w:r>
        <w:rPr>
          <w:b/>
          <w:bCs/>
          <w:color w:val="1F3B57"/>
          <w:sz w:val="22"/>
          <w:szCs w:val="22"/>
        </w:rPr>
        <w:t xml:space="preserve">9. Advantages &amp; Limitations</w:t>
      </w:r>
      <w:r>
        <w:rPr>
          <w:b/>
          <w:bCs/>
          <w:color w:val="1F3B57"/>
          <w:sz w:val="22"/>
          <w:szCs w:val="22"/>
        </w:rPr>
        <w:t xml:space="preserve">	7</w:t>
      </w:r>
    </w:p>
    <w:p>
      <w:pPr>
        <w:tabs>
          <w:tab w:val="right" w:pos="9026" w:leader="dot"/>
        </w:tabs>
        <w:spacing w:after="120"/>
      </w:pPr>
      <w:r>
        <w:rPr>
          <w:b/>
          <w:bCs/>
          <w:color w:val="1F3B57"/>
          <w:sz w:val="22"/>
          <w:szCs w:val="22"/>
        </w:rPr>
        <w:t xml:space="preserve">10. Future Scope</w:t>
      </w:r>
      <w:r>
        <w:rPr>
          <w:b/>
          <w:bCs/>
          <w:color w:val="1F3B57"/>
          <w:sz w:val="22"/>
          <w:szCs w:val="22"/>
        </w:rPr>
        <w:t xml:space="preserve">	8</w:t>
      </w:r>
    </w:p>
    <w:p>
      <w:pPr>
        <w:tabs>
          <w:tab w:val="right" w:pos="9026" w:leader="dot"/>
        </w:tabs>
        <w:spacing w:after="120"/>
      </w:pPr>
      <w:r>
        <w:rPr>
          <w:b/>
          <w:bCs/>
          <w:color w:val="1F3B57"/>
          <w:sz w:val="22"/>
          <w:szCs w:val="22"/>
        </w:rPr>
        <w:t xml:space="preserve">11. Immediate Next Steps to Validate</w:t>
      </w:r>
      <w:r>
        <w:rPr>
          <w:b/>
          <w:bCs/>
          <w:color w:val="1F3B57"/>
          <w:sz w:val="22"/>
          <w:szCs w:val="22"/>
        </w:rPr>
        <w:t xml:space="preserve">	8</w:t>
      </w:r>
    </w:p>
    <w:p>
      <w:pPr>
        <w:tabs>
          <w:tab w:val="right" w:pos="9026" w:leader="dot"/>
        </w:tabs>
        <w:spacing w:after="120"/>
      </w:pPr>
      <w:r>
        <w:rPr>
          <w:b/>
          <w:bCs/>
          <w:color w:val="1F3B57"/>
          <w:sz w:val="22"/>
          <w:szCs w:val="22"/>
        </w:rPr>
        <w:t xml:space="preserve">12. Conclusion</w:t>
      </w:r>
      <w:r>
        <w:rPr>
          <w:b/>
          <w:bCs/>
          <w:color w:val="1F3B57"/>
          <w:sz w:val="22"/>
          <w:szCs w:val="22"/>
        </w:rPr>
        <w:t xml:space="preserve">	9</w:t>
      </w:r>
    </w:p>
    <w:p>
      <w:r>
        <w:br w:type="page"/>
      </w:r>
    </w:p>
    <w:p>
      <w:pPr>
        <w:pStyle w:val="Heading1"/>
        <w:spacing w:after="200" w:before="400"/>
      </w:pPr>
      <w:r>
        <w:t xml:space="preserve">1. Executive Summary</w:t>
      </w:r>
    </w:p>
    <w:p>
      <w:pPr>
        <w:spacing w:after="160"/>
      </w:pPr>
      <w:r>
        <w:t xml:space="preserve">HealthID AI is a secure, AI-powered, patient-centric healthcare record platform. Every patient receives a unique, portable Health ID and QR code, allowing doctors, hospitals, and labs to instantly access authorized medical records — while an AI intelligence layer turns uploaded documents into structured clinical knowledge, summaries, and decision support.</w:t>
      </w:r>
    </w:p>
    <w:p>
      <w:pPr>
        <w:spacing w:after="160"/>
      </w:pPr>
      <w:r>
        <w:t xml:space="preserve">This plan reflects the project's strategic evolution from a broad, general-purpose health record platform (v1) into a focused go-to-market (v2): rather than competing directly with India's national ABDM/ABHA infrastructure or the enterprise players already serving large hospitals, HealthID AI targets the segment that infrastructure has not yet reached — small clinics, standalone diagnostic labs, solo practitioners, and rural/village healthcare providers — and layers AI-driven summarization, semantic search, and clinical decision support on top.</w:t>
      </w:r>
    </w:p>
    <w:p>
      <w:pPr>
        <w:pBdr>
          <w:bottom w:val="single" w:color="CCCCCC" w:sz="6" w:space="1"/>
        </w:pBdr>
        <w:spacing w:after="240"/>
      </w:pPr>
    </w:p>
    <w:p>
      <w:pPr>
        <w:pStyle w:val="Heading1"/>
        <w:spacing w:after="200" w:before="400"/>
      </w:pPr>
      <w:r>
        <w:t xml:space="preserve">2. Introduction &amp; Problem Statement</w:t>
      </w:r>
    </w:p>
    <w:p>
      <w:pPr>
        <w:spacing w:after="160"/>
      </w:pPr>
      <w:r>
        <w:t xml:space="preserve">India's healthcare system remains largely fragmented at the point of care for smaller providers. Patient records are scattered across paper prescriptions, physical lab reports, and disconnected clinic registers. This causes repeated diagnostic testing, lost history, slower diagnosis, and preventable medical errors — problems that are most acute exactly where digital infrastructure has been slowest to arrive: small clinics, standalone labs, and rural facilities.</w:t>
      </w:r>
    </w:p>
    <w:p>
      <w:pPr>
        <w:spacing w:after="160"/>
      </w:pPr>
      <w:r>
        <w:t xml:space="preserve">HealthID AI's mission is to give every patient a lifelong digital health identity, and every provider — no matter how small — an affordable path onto the digital health ecosystem, augmented with AI reasoning that raw record-linking alone does not provide.</w:t>
      </w:r>
    </w:p>
    <w:p>
      <w:pPr>
        <w:pStyle w:val="Heading1"/>
        <w:spacing w:after="200" w:before="400"/>
      </w:pPr>
      <w:r>
        <w:t xml:space="preserve">3. Market Reality &amp; Confirmed Gaps</w:t>
      </w:r>
    </w:p>
    <w:p>
      <w:pPr>
        <w:pStyle w:val="Heading2"/>
        <w:spacing w:after="140" w:before="280"/>
      </w:pPr>
      <w:r>
        <w:t xml:space="preserve">3.1 What Already Exists</w:t>
      </w:r>
    </w:p>
    <w:p>
      <w:pPr>
        <w:pStyle w:val="ListParagraph"/>
        <w:numPr>
          <w:ilvl w:val="0"/>
          <w:numId w:val="2"/>
        </w:numPr>
        <w:spacing w:after="60"/>
      </w:pPr>
      <w:r>
        <w:rPr>
          <w:b w:val="false"/>
          <w:bCs w:val="false"/>
        </w:rPr>
        <w:t xml:space="preserve">ABHA / ABDM — India's national health ID and record-linking infrastructure, already covering 900M+ accounts.</w:t>
      </w:r>
    </w:p>
    <w:p>
      <w:pPr>
        <w:pStyle w:val="ListParagraph"/>
        <w:numPr>
          <w:ilvl w:val="0"/>
          <w:numId w:val="2"/>
        </w:numPr>
        <w:spacing w:after="60"/>
      </w:pPr>
      <w:r>
        <w:rPr>
          <w:b w:val="false"/>
          <w:bCs w:val="false"/>
        </w:rPr>
        <w:t xml:space="preserve">Large hospitals and lab chains (Apollo, Fortis, Manipal, Dr. Lal PathLabs, SRL) — already integrated with digital systems.</w:t>
      </w:r>
    </w:p>
    <w:p>
      <w:pPr>
        <w:pStyle w:val="ListParagraph"/>
        <w:numPr>
          <w:ilvl w:val="0"/>
          <w:numId w:val="2"/>
        </w:numPr>
        <w:spacing w:after="60"/>
      </w:pPr>
      <w:r>
        <w:rPr>
          <w:b w:val="false"/>
          <w:bCs w:val="false"/>
        </w:rPr>
        <w:t xml:space="preserve">AI documentation/summarization tools (Doximity, Glass Health, Abridge) — built for enterprise and urban clinician workflows.</w:t>
      </w:r>
    </w:p>
    <w:p>
      <w:pPr>
        <w:pStyle w:val="ListParagraph"/>
        <w:numPr>
          <w:ilvl w:val="0"/>
          <w:numId w:val="2"/>
        </w:numPr>
        <w:spacing w:after="60"/>
      </w:pPr>
      <w:r>
        <w:rPr>
          <w:b w:val="false"/>
          <w:bCs w:val="false"/>
        </w:rPr>
        <w:t xml:space="preserve">Third-party ABDM integrators (ABDM Connect, Adrine, SpreadMe) — sell compliance and integration, mostly to hospitals and HMS vendors.</w:t>
      </w:r>
    </w:p>
    <w:p>
      <w:pPr>
        <w:pStyle w:val="Heading2"/>
        <w:spacing w:after="140" w:before="280"/>
      </w:pPr>
      <w:r>
        <w:t xml:space="preserve">3.2 Confirmed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B57" w:val="clear"/>
            <w:tcMar>
              <w:top w:type="dxa" w:w="100"/>
              <w:left w:type="dxa" w:w="120"/>
              <w:bottom w:type="dxa" w:w="100"/>
              <w:right w:type="dxa" w:w="120"/>
            </w:tcMar>
          </w:tcPr>
          <w:p>
            <w:r>
              <w:rPr>
                <w:b/>
                <w:bCs/>
                <w:color w:val="FFFFFF"/>
                <w:sz w:val="20"/>
                <w:szCs w:val="20"/>
              </w:rPr>
              <w:t xml:space="preserve">Gap</w:t>
            </w:r>
          </w:p>
        </w:tc>
        <w:tc>
          <w:tcPr>
            <w:tcW w:type="dxa" w:w="6160"/>
            <w:shd w:fill="1F3B57" w:val="clear"/>
            <w:tcMar>
              <w:top w:type="dxa" w:w="100"/>
              <w:left w:type="dxa" w:w="120"/>
              <w:bottom w:type="dxa" w:w="100"/>
              <w:right w:type="dxa" w:w="120"/>
            </w:tcMar>
          </w:tcPr>
          <w:p>
            <w:r>
              <w:rPr>
                <w:b/>
                <w:bCs/>
                <w:color w:val="FFFFFF"/>
                <w:sz w:val="20"/>
                <w:szCs w:val="20"/>
              </w:rPr>
              <w:t xml:space="preserve">Detail</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Small / standalone clinics</w:t>
            </w:r>
          </w:p>
        </w:tc>
        <w:tc>
          <w:tcPr>
            <w:tcW w:type="dxa" w:w="6160"/>
            <w:shd w:fill="FFFFFF" w:val="clear"/>
            <w:tcMar>
              <w:top w:type="dxa" w:w="100"/>
              <w:left w:type="dxa" w:w="120"/>
              <w:bottom w:type="dxa" w:w="100"/>
              <w:right w:type="dxa" w:w="120"/>
            </w:tcMar>
          </w:tcPr>
          <w:p>
            <w:r>
              <w:rPr>
                <w:b w:val="false"/>
                <w:bCs w:val="false"/>
                <w:color w:val="000000"/>
                <w:sz w:val="20"/>
                <w:szCs w:val="20"/>
              </w:rPr>
              <w:t xml:space="preserve">Not ABDM-enrolled, often still fully paper-based</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Solo practitioners</w:t>
            </w:r>
          </w:p>
        </w:tc>
        <w:tc>
          <w:tcPr>
            <w:tcW w:type="dxa" w:w="6160"/>
            <w:shd w:fill="F2F2F2" w:val="clear"/>
            <w:tcMar>
              <w:top w:type="dxa" w:w="100"/>
              <w:left w:type="dxa" w:w="120"/>
              <w:bottom w:type="dxa" w:w="100"/>
              <w:right w:type="dxa" w:w="120"/>
            </w:tcMar>
          </w:tcPr>
          <w:p>
            <w:r>
              <w:rPr>
                <w:b w:val="false"/>
                <w:bCs w:val="false"/>
                <w:color w:val="000000"/>
                <w:sz w:val="20"/>
                <w:szCs w:val="20"/>
              </w:rPr>
              <w:t xml:space="preserve">No digital record system at all</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Standalone diagnostic labs</w:t>
            </w:r>
          </w:p>
        </w:tc>
        <w:tc>
          <w:tcPr>
            <w:tcW w:type="dxa" w:w="6160"/>
            <w:shd w:fill="FFFFFF" w:val="clear"/>
            <w:tcMar>
              <w:top w:type="dxa" w:w="100"/>
              <w:left w:type="dxa" w:w="120"/>
              <w:bottom w:type="dxa" w:w="100"/>
              <w:right w:type="dxa" w:w="120"/>
            </w:tcMar>
          </w:tcPr>
          <w:p>
            <w:r>
              <w:rPr>
                <w:b w:val="false"/>
                <w:bCs w:val="false"/>
                <w:color w:val="000000"/>
                <w:sz w:val="20"/>
                <w:szCs w:val="20"/>
              </w:rPr>
              <w:t xml:space="preserve">Not connected — no ABDM report upload</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Village / rural clinics</w:t>
            </w:r>
          </w:p>
        </w:tc>
        <w:tc>
          <w:tcPr>
            <w:tcW w:type="dxa" w:w="6160"/>
            <w:shd w:fill="F2F2F2" w:val="clear"/>
            <w:tcMar>
              <w:top w:type="dxa" w:w="100"/>
              <w:left w:type="dxa" w:w="120"/>
              <w:bottom w:type="dxa" w:w="100"/>
              <w:right w:type="dxa" w:w="120"/>
            </w:tcMar>
          </w:tcPr>
          <w:p>
            <w:r>
              <w:rPr>
                <w:b w:val="false"/>
                <w:bCs w:val="false"/>
                <w:color w:val="000000"/>
                <w:sz w:val="20"/>
                <w:szCs w:val="20"/>
              </w:rPr>
              <w:t xml:space="preserve">Least-served segment: no digital records, no AI, no integration</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AI intelligence layer</w:t>
            </w:r>
          </w:p>
        </w:tc>
        <w:tc>
          <w:tcPr>
            <w:tcW w:type="dxa" w:w="6160"/>
            <w:shd w:fill="FFFFFF" w:val="clear"/>
            <w:tcMar>
              <w:top w:type="dxa" w:w="100"/>
              <w:left w:type="dxa" w:w="120"/>
              <w:bottom w:type="dxa" w:w="100"/>
              <w:right w:type="dxa" w:w="120"/>
            </w:tcMar>
          </w:tcPr>
          <w:p>
            <w:r>
              <w:rPr>
                <w:b w:val="false"/>
                <w:bCs w:val="false"/>
                <w:color w:val="000000"/>
                <w:sz w:val="20"/>
                <w:szCs w:val="20"/>
              </w:rPr>
              <w:t xml:space="preserve">Missing on top of existing ABDM data everywhere, not just in rural areas</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Existing integrators</w:t>
            </w:r>
          </w:p>
        </w:tc>
        <w:tc>
          <w:tcPr>
            <w:tcW w:type="dxa" w:w="6160"/>
            <w:shd w:fill="F2F2F2" w:val="clear"/>
            <w:tcMar>
              <w:top w:type="dxa" w:w="100"/>
              <w:left w:type="dxa" w:w="120"/>
              <w:bottom w:type="dxa" w:w="100"/>
              <w:right w:type="dxa" w:w="120"/>
            </w:tcMar>
          </w:tcPr>
          <w:p>
            <w:r>
              <w:rPr>
                <w:b w:val="false"/>
                <w:bCs w:val="false"/>
                <w:color w:val="000000"/>
                <w:sz w:val="20"/>
                <w:szCs w:val="20"/>
              </w:rPr>
              <w:t xml:space="preserve">Priced and sold toward hospitals; ignore small providers</w:t>
            </w:r>
          </w:p>
        </w:tc>
      </w:tr>
    </w:tbl>
    <w:p>
      <w:pPr>
        <w:spacing w:after="200"/>
      </w:pPr>
    </w:p>
    <w:p>
      <w:pPr>
        <w:pStyle w:val="Heading2"/>
        <w:spacing w:after="140" w:before="280"/>
      </w:pPr>
      <w:r>
        <w:t xml:space="preserve">3.3 Additional Constraints — Rural / Village Segment</w:t>
      </w:r>
    </w:p>
    <w:p>
      <w:pPr>
        <w:pStyle w:val="ListParagraph"/>
        <w:numPr>
          <w:ilvl w:val="0"/>
          <w:numId w:val="2"/>
        </w:numPr>
        <w:spacing w:after="60"/>
      </w:pPr>
      <w:r>
        <w:rPr>
          <w:b w:val="false"/>
          <w:bCs w:val="false"/>
        </w:rPr>
        <w:t xml:space="preserve">Low digital literacy among staff and doctors — dashboards won't work; UI must be radically simple.</w:t>
      </w:r>
    </w:p>
    <w:p>
      <w:pPr>
        <w:pStyle w:val="ListParagraph"/>
        <w:numPr>
          <w:ilvl w:val="0"/>
          <w:numId w:val="2"/>
        </w:numPr>
        <w:spacing w:after="60"/>
      </w:pPr>
      <w:r>
        <w:rPr>
          <w:b w:val="false"/>
          <w:bCs w:val="false"/>
        </w:rPr>
        <w:t xml:space="preserve">Patients often lack smartphones — ABHA creation itself is a barrier.</w:t>
      </w:r>
    </w:p>
    <w:p>
      <w:pPr>
        <w:pStyle w:val="ListParagraph"/>
        <w:numPr>
          <w:ilvl w:val="0"/>
          <w:numId w:val="2"/>
        </w:numPr>
        <w:spacing w:after="60"/>
      </w:pPr>
      <w:r>
        <w:rPr>
          <w:b w:val="false"/>
          <w:bCs w:val="false"/>
        </w:rPr>
        <w:t xml:space="preserve">Poor or intermittent internet — requires offline-first design with later sync.</w:t>
      </w:r>
    </w:p>
    <w:p>
      <w:pPr>
        <w:pStyle w:val="ListParagraph"/>
        <w:numPr>
          <w:ilvl w:val="0"/>
          <w:numId w:val="2"/>
        </w:numPr>
        <w:spacing w:after="60"/>
      </w:pPr>
      <w:r>
        <w:rPr>
          <w:b w:val="false"/>
          <w:bCs w:val="false"/>
        </w:rPr>
        <w:t xml:space="preserve">Low willingness/ability to pay — pricing must be near-free or subsidized.</w:t>
      </w:r>
    </w:p>
    <w:p>
      <w:pPr>
        <w:pStyle w:val="ListParagraph"/>
        <w:numPr>
          <w:ilvl w:val="0"/>
          <w:numId w:val="2"/>
        </w:numPr>
        <w:spacing w:after="60"/>
      </w:pPr>
      <w:r>
        <w:rPr>
          <w:b w:val="false"/>
          <w:bCs w:val="false"/>
        </w:rPr>
        <w:t xml:space="preserve">Single-doctor clinics have no spare time — the tool must save time, not add steps.</w:t>
      </w:r>
    </w:p>
    <w:p>
      <w:pPr>
        <w:pBdr>
          <w:bottom w:val="single" w:color="CCCCCC" w:sz="6" w:space="1"/>
        </w:pBdr>
        <w:spacing w:after="240"/>
      </w:pPr>
    </w:p>
    <w:p>
      <w:pPr>
        <w:pStyle w:val="Heading1"/>
        <w:spacing w:after="200" w:before="400"/>
      </w:pPr>
      <w:r>
        <w:t xml:space="preserve">4. Positioning</w:t>
      </w:r>
    </w:p>
    <w:p>
      <w:pPr>
        <w:pStyle w:val="Heading2"/>
        <w:spacing w:after="140" w:before="280"/>
      </w:pPr>
      <w:r>
        <w:t xml:space="preserve">4.1 Original Positioning (v1)</w:t>
      </w:r>
    </w:p>
    <w:p>
      <w:pPr>
        <w:spacing w:after="160"/>
      </w:pPr>
      <w:r>
        <w:t xml:space="preserve">The original plan positioned HealthID AI as a broad, universal patient health record platform for all hospitals and patients, competing on the strength of AI summarization, semantic search, and secure cross-institution sharing.</w:t>
      </w:r>
    </w:p>
    <w:p>
      <w:pPr>
        <w:pStyle w:val="Heading2"/>
        <w:spacing w:after="140" w:before="280"/>
      </w:pPr>
      <w:r>
        <w:t xml:space="preserve">4.2 Updated Positioning (v2)</w:t>
      </w:r>
    </w:p>
    <w:p>
      <w:pPr>
        <w:spacing w:after="160"/>
      </w:pPr>
      <w:r>
        <w:t xml:space="preserve">The updated plan narrows this to a defensible wedge: instead of building another general record platform, HealthID AI becomes the AI-enabled onboarding and intelligence layer for the providers that ABDM, hospital chains, and enterprise AI tools have not reached.</w:t>
      </w:r>
    </w:p>
    <w:p>
      <w:pPr>
        <w:spacing w:after="120" w:before="120"/>
      </w:pPr>
      <w:r>
        <w:rPr>
          <w:i/>
          <w:iCs/>
          <w:color w:val="666666"/>
        </w:rPr>
        <w:t xml:space="preserve">❌  “Built a patient health record app.”</w:t>
      </w:r>
    </w:p>
    <w:p>
      <w:pPr>
        <w:spacing w:after="200"/>
      </w:pPr>
      <w:r>
        <w:rPr>
          <w:b/>
          <w:bCs/>
          <w:color w:val="1F3B57"/>
        </w:rPr>
        <w:t xml:space="preserve">✅  “Built an AI-powered ABDM enablement platform that brings India's underserved small clinics, labs, and rural healthcare providers onto the national digital health ecosystem — with AI-driven diagnosis support built in.”</w:t>
      </w:r>
    </w:p>
    <w:p>
      <w:pPr>
        <w:pBdr>
          <w:bottom w:val="single" w:color="CCCCCC" w:sz="6" w:space="1"/>
        </w:pBdr>
        <w:spacing w:after="240"/>
      </w:pPr>
    </w:p>
    <w:p>
      <w:pPr>
        <w:pStyle w:val="Heading1"/>
        <w:spacing w:after="200" w:before="400"/>
      </w:pPr>
      <w:r>
        <w:t xml:space="preserve">5. Target Segments — Two-Tier Approach</w:t>
      </w:r>
    </w:p>
    <w:p>
      <w:pPr>
        <w:pStyle w:val="Heading2"/>
        <w:spacing w:after="140" w:before="280"/>
      </w:pPr>
      <w:r>
        <w:t xml:space="preserve">5.1 Tier 1 — Small Clinics &amp; Standalone Labs (Semi-Urban / Tier-2 / Tier-3)</w:t>
      </w:r>
    </w:p>
    <w:p>
      <w:pPr>
        <w:pStyle w:val="ListParagraph"/>
        <w:numPr>
          <w:ilvl w:val="0"/>
          <w:numId w:val="2"/>
        </w:numPr>
        <w:spacing w:after="60"/>
      </w:pPr>
      <w:r>
        <w:rPr>
          <w:b w:val="false"/>
          <w:bCs w:val="false"/>
        </w:rPr>
        <w:t xml:space="preserve">Simple ABDM/HIP onboarding-as-a-service — HealthID AI handles the compliance burden.</w:t>
      </w:r>
    </w:p>
    <w:p>
      <w:pPr>
        <w:pStyle w:val="ListParagraph"/>
        <w:numPr>
          <w:ilvl w:val="0"/>
          <w:numId w:val="2"/>
        </w:numPr>
        <w:spacing w:after="60"/>
      </w:pPr>
      <w:r>
        <w:rPr>
          <w:b w:val="false"/>
          <w:bCs w:val="false"/>
        </w:rPr>
        <w:t xml:space="preserve">OCR tool to digitize and structure lab reports (scanned or handwritten → structured data).</w:t>
      </w:r>
    </w:p>
    <w:p>
      <w:pPr>
        <w:pStyle w:val="ListParagraph"/>
        <w:numPr>
          <w:ilvl w:val="0"/>
          <w:numId w:val="2"/>
        </w:numPr>
        <w:spacing w:after="60"/>
      </w:pPr>
      <w:r>
        <w:rPr>
          <w:b w:val="false"/>
          <w:bCs w:val="false"/>
        </w:rPr>
        <w:t xml:space="preserve">AI summarization of patient history for faster diagnosis.</w:t>
      </w:r>
    </w:p>
    <w:p>
      <w:pPr>
        <w:pStyle w:val="ListParagraph"/>
        <w:numPr>
          <w:ilvl w:val="0"/>
          <w:numId w:val="2"/>
        </w:numPr>
        <w:spacing w:after="60"/>
      </w:pPr>
      <w:r>
        <w:rPr>
          <w:b w:val="false"/>
          <w:bCs w:val="false"/>
        </w:rPr>
        <w:t xml:space="preserve">Lightweight doctor dashboard.</w:t>
      </w:r>
    </w:p>
    <w:p>
      <w:pPr>
        <w:pStyle w:val="Heading2"/>
        <w:spacing w:after="140" w:before="280"/>
      </w:pPr>
      <w:r>
        <w:t xml:space="preserve">5.2 Tier 2 — Village / Rural Clinics</w:t>
      </w:r>
    </w:p>
    <w:p>
      <w:pPr>
        <w:pStyle w:val="ListParagraph"/>
        <w:numPr>
          <w:ilvl w:val="0"/>
          <w:numId w:val="2"/>
        </w:numPr>
        <w:spacing w:after="60"/>
      </w:pPr>
      <w:r>
        <w:rPr>
          <w:b w:val="false"/>
          <w:bCs w:val="false"/>
        </w:rPr>
        <w:t xml:space="preserve">Offline-first record app — works without internet, syncs when available.</w:t>
      </w:r>
    </w:p>
    <w:p>
      <w:pPr>
        <w:pStyle w:val="ListParagraph"/>
        <w:numPr>
          <w:ilvl w:val="0"/>
          <w:numId w:val="2"/>
        </w:numPr>
        <w:spacing w:after="60"/>
      </w:pPr>
      <w:r>
        <w:rPr>
          <w:b w:val="false"/>
          <w:bCs w:val="false"/>
        </w:rPr>
        <w:t xml:space="preserve">Staff-assisted ABHA creation (Aadhaar-based, no smartphone required from the patient).</w:t>
      </w:r>
    </w:p>
    <w:p>
      <w:pPr>
        <w:pStyle w:val="ListParagraph"/>
        <w:numPr>
          <w:ilvl w:val="0"/>
          <w:numId w:val="2"/>
        </w:numPr>
        <w:spacing w:after="60"/>
      </w:pPr>
      <w:r>
        <w:rPr>
          <w:b w:val="false"/>
          <w:bCs w:val="false"/>
        </w:rPr>
        <w:t xml:space="preserve">Voice-based or minimal-typing data entry.</w:t>
      </w:r>
    </w:p>
    <w:p>
      <w:pPr>
        <w:pStyle w:val="ListParagraph"/>
        <w:numPr>
          <w:ilvl w:val="0"/>
          <w:numId w:val="2"/>
        </w:numPr>
        <w:spacing w:after="60"/>
      </w:pPr>
      <w:r>
        <w:rPr>
          <w:b w:val="false"/>
          <w:bCs w:val="false"/>
        </w:rPr>
        <w:t xml:space="preserve">Simple text-based AI summaries, not dashboards or charts.</w:t>
      </w:r>
    </w:p>
    <w:p>
      <w:pPr>
        <w:pStyle w:val="ListParagraph"/>
        <w:numPr>
          <w:ilvl w:val="0"/>
          <w:numId w:val="2"/>
        </w:numPr>
        <w:spacing w:after="60"/>
      </w:pPr>
      <w:r>
        <w:rPr>
          <w:b w:val="false"/>
          <w:bCs w:val="false"/>
        </w:rPr>
        <w:t xml:space="preserve">Free or subsidized pricing — explored via government or NGO partnership funding.</w:t>
      </w:r>
    </w:p>
    <w:p>
      <w:pPr>
        <w:pStyle w:val="Heading2"/>
        <w:spacing w:after="140" w:before="280"/>
      </w:pPr>
      <w:r>
        <w:t xml:space="preserve">5.3 Core AI Layer (Applies to Both Tiers)</w:t>
      </w:r>
    </w:p>
    <w:p>
      <w:pPr>
        <w:pStyle w:val="ListParagraph"/>
        <w:numPr>
          <w:ilvl w:val="0"/>
          <w:numId w:val="2"/>
        </w:numPr>
        <w:spacing w:after="60"/>
      </w:pPr>
      <w:r>
        <w:rPr>
          <w:b w:val="false"/>
          <w:bCs w:val="false"/>
        </w:rPr>
        <w:t xml:space="preserve">Patient history summarization.</w:t>
      </w:r>
    </w:p>
    <w:p>
      <w:pPr>
        <w:pStyle w:val="ListParagraph"/>
        <w:numPr>
          <w:ilvl w:val="0"/>
          <w:numId w:val="2"/>
        </w:numPr>
        <w:spacing w:after="60"/>
      </w:pPr>
      <w:r>
        <w:rPr>
          <w:b w:val="false"/>
          <w:bCs w:val="false"/>
        </w:rPr>
        <w:t xml:space="preserve">Semantic search across records.</w:t>
      </w:r>
    </w:p>
    <w:p>
      <w:pPr>
        <w:pStyle w:val="ListParagraph"/>
        <w:numPr>
          <w:ilvl w:val="0"/>
          <w:numId w:val="2"/>
        </w:numPr>
        <w:spacing w:after="60"/>
      </w:pPr>
      <w:r>
        <w:rPr>
          <w:b w:val="false"/>
          <w:bCs w:val="false"/>
        </w:rPr>
        <w:t xml:space="preserve">Drug interaction, allergy, and duplicate-medication alerts.</w:t>
      </w:r>
    </w:p>
    <w:p>
      <w:pPr>
        <w:pStyle w:val="ListParagraph"/>
        <w:numPr>
          <w:ilvl w:val="0"/>
          <w:numId w:val="2"/>
        </w:numPr>
        <w:spacing w:after="60"/>
      </w:pPr>
      <w:r>
        <w:rPr>
          <w:b w:val="false"/>
          <w:bCs w:val="false"/>
        </w:rPr>
        <w:t xml:space="preserve">Structured extraction from scanned or handwritten reports (OCR + medical entity extraction).</w:t>
      </w:r>
    </w:p>
    <w:p>
      <w:pPr>
        <w:pBdr>
          <w:bottom w:val="single" w:color="CCCCCC" w:sz="6" w:space="1"/>
        </w:pBdr>
        <w:spacing w:after="240"/>
      </w:pPr>
    </w:p>
    <w:p>
      <w:pPr>
        <w:pStyle w:val="Heading1"/>
        <w:spacing w:after="200" w:before="400"/>
      </w:pPr>
      <w:r>
        <w:t xml:space="preserve">6. System Architecture (Overview)</w:t>
      </w:r>
    </w:p>
    <w:p>
      <w:pPr>
        <w:pStyle w:val="Heading2"/>
        <w:spacing w:after="140" w:before="280"/>
      </w:pPr>
      <w:r>
        <w:t xml:space="preserve">6.1 Layered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B57" w:val="clear"/>
            <w:tcMar>
              <w:top w:type="dxa" w:w="100"/>
              <w:left w:type="dxa" w:w="120"/>
              <w:bottom w:type="dxa" w:w="100"/>
              <w:right w:type="dxa" w:w="120"/>
            </w:tcMar>
          </w:tcPr>
          <w:p>
            <w:r>
              <w:rPr>
                <w:b/>
                <w:bCs/>
                <w:color w:val="FFFFFF"/>
                <w:sz w:val="20"/>
                <w:szCs w:val="20"/>
              </w:rPr>
              <w:t xml:space="preserve">Layer</w:t>
            </w:r>
          </w:p>
        </w:tc>
        <w:tc>
          <w:tcPr>
            <w:tcW w:type="dxa" w:w="6360"/>
            <w:shd w:fill="1F3B57" w:val="clear"/>
            <w:tcMar>
              <w:top w:type="dxa" w:w="100"/>
              <w:left w:type="dxa" w:w="120"/>
              <w:bottom w:type="dxa" w:w="100"/>
              <w:right w:type="dxa" w:w="120"/>
            </w:tcMar>
          </w:tcPr>
          <w:p>
            <w:r>
              <w:rPr>
                <w:b/>
                <w:bCs/>
                <w:color w:val="FFFFFF"/>
                <w:sz w:val="20"/>
                <w:szCs w:val="20"/>
              </w:rPr>
              <w:t xml:space="preserve">Function</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1. Patient Registration</w:t>
            </w:r>
          </w:p>
        </w:tc>
        <w:tc>
          <w:tcPr>
            <w:tcW w:type="dxa" w:w="6360"/>
            <w:shd w:fill="FFFFFF" w:val="clear"/>
            <w:tcMar>
              <w:top w:type="dxa" w:w="100"/>
              <w:left w:type="dxa" w:w="120"/>
              <w:bottom w:type="dxa" w:w="100"/>
              <w:right w:type="dxa" w:w="120"/>
            </w:tcMar>
          </w:tcPr>
          <w:p>
            <w:r>
              <w:rPr>
                <w:b w:val="false"/>
                <w:bCs w:val="false"/>
                <w:color w:val="000000"/>
                <w:sz w:val="20"/>
                <w:szCs w:val="20"/>
              </w:rPr>
              <w:t xml:space="preserve">Patient (or staff-assisted) profile creation; unique Health ID + QR code, linked to ABHA where possible</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2. Data Ingestion</w:t>
            </w:r>
          </w:p>
        </w:tc>
        <w:tc>
          <w:tcPr>
            <w:tcW w:type="dxa" w:w="6360"/>
            <w:shd w:fill="F2F2F2" w:val="clear"/>
            <w:tcMar>
              <w:top w:type="dxa" w:w="100"/>
              <w:left w:type="dxa" w:w="120"/>
              <w:bottom w:type="dxa" w:w="100"/>
              <w:right w:type="dxa" w:w="120"/>
            </w:tcMar>
          </w:tcPr>
          <w:p>
            <w:r>
              <w:rPr>
                <w:b w:val="false"/>
                <w:bCs w:val="false"/>
                <w:color w:val="000000"/>
                <w:sz w:val="20"/>
                <w:szCs w:val="20"/>
              </w:rPr>
              <w:t xml:space="preserve">Hospitals, labs, and doctors upload records, reports, and prescriptions, including scanned/handwritten documents</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3. Processing</w:t>
            </w:r>
          </w:p>
        </w:tc>
        <w:tc>
          <w:tcPr>
            <w:tcW w:type="dxa" w:w="6360"/>
            <w:shd w:fill="FFFFFF" w:val="clear"/>
            <w:tcMar>
              <w:top w:type="dxa" w:w="100"/>
              <w:left w:type="dxa" w:w="120"/>
              <w:bottom w:type="dxa" w:w="100"/>
              <w:right w:type="dxa" w:w="120"/>
            </w:tcMar>
          </w:tcPr>
          <w:p>
            <w:r>
              <w:rPr>
                <w:b w:val="false"/>
                <w:bCs w:val="false"/>
                <w:color w:val="000000"/>
                <w:sz w:val="20"/>
                <w:szCs w:val="20"/>
              </w:rPr>
              <w:t xml:space="preserve">OCR extraction, medical entity identification, embedding generation</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4. Storage</w:t>
            </w:r>
          </w:p>
        </w:tc>
        <w:tc>
          <w:tcPr>
            <w:tcW w:type="dxa" w:w="6360"/>
            <w:shd w:fill="F2F2F2" w:val="clear"/>
            <w:tcMar>
              <w:top w:type="dxa" w:w="100"/>
              <w:left w:type="dxa" w:w="120"/>
              <w:bottom w:type="dxa" w:w="100"/>
              <w:right w:type="dxa" w:w="120"/>
            </w:tcMar>
          </w:tcPr>
          <w:p>
            <w:r>
              <w:rPr>
                <w:b w:val="false"/>
                <w:bCs w:val="false"/>
                <w:color w:val="000000"/>
                <w:sz w:val="20"/>
                <w:szCs w:val="20"/>
              </w:rPr>
              <w:t xml:space="preserve">PostgreSQL for metadata, object storage for reports, vector DB for semantic embeddings</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5. AI Intelligence</w:t>
            </w:r>
          </w:p>
        </w:tc>
        <w:tc>
          <w:tcPr>
            <w:tcW w:type="dxa" w:w="6360"/>
            <w:shd w:fill="FFFFFF" w:val="clear"/>
            <w:tcMar>
              <w:top w:type="dxa" w:w="100"/>
              <w:left w:type="dxa" w:w="120"/>
              <w:bottom w:type="dxa" w:w="100"/>
              <w:right w:type="dxa" w:w="120"/>
            </w:tcMar>
          </w:tcPr>
          <w:p>
            <w:r>
              <w:rPr>
                <w:b w:val="false"/>
                <w:bCs w:val="false"/>
                <w:color w:val="000000"/>
                <w:sz w:val="20"/>
                <w:szCs w:val="20"/>
              </w:rPr>
              <w:t xml:space="preserve">Medical summarization, disease timelines, drug-interaction checks, context retrieval</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6. Access Control</w:t>
            </w:r>
          </w:p>
        </w:tc>
        <w:tc>
          <w:tcPr>
            <w:tcW w:type="dxa" w:w="6360"/>
            <w:shd w:fill="F2F2F2" w:val="clear"/>
            <w:tcMar>
              <w:top w:type="dxa" w:w="100"/>
              <w:left w:type="dxa" w:w="120"/>
              <w:bottom w:type="dxa" w:w="100"/>
              <w:right w:type="dxa" w:w="120"/>
            </w:tcMar>
          </w:tcPr>
          <w:p>
            <w:r>
              <w:rPr>
                <w:b w:val="false"/>
                <w:bCs w:val="false"/>
                <w:color w:val="000000"/>
                <w:sz w:val="20"/>
                <w:szCs w:val="20"/>
              </w:rPr>
              <w:t xml:space="preserve">QR-based lookup, patient (or staff-assisted) consent, secure record retrieval</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7. User Interface</w:t>
            </w:r>
          </w:p>
        </w:tc>
        <w:tc>
          <w:tcPr>
            <w:tcW w:type="dxa" w:w="6360"/>
            <w:shd w:fill="FFFFFF" w:val="clear"/>
            <w:tcMar>
              <w:top w:type="dxa" w:w="100"/>
              <w:left w:type="dxa" w:w="120"/>
              <w:bottom w:type="dxa" w:w="100"/>
              <w:right w:type="dxa" w:w="120"/>
            </w:tcMar>
          </w:tcPr>
          <w:p>
            <w:r>
              <w:rPr>
                <w:b w:val="false"/>
                <w:bCs w:val="false"/>
                <w:color w:val="000000"/>
                <w:sz w:val="20"/>
                <w:szCs w:val="20"/>
              </w:rPr>
              <w:t xml:space="preserve">Doctor dashboard, simple text/voice interface for rural clinics, patient app, hospital/lab portal</w:t>
            </w:r>
          </w:p>
        </w:tc>
      </w:tr>
    </w:tbl>
    <w:p>
      <w:pPr>
        <w:spacing w:after="100"/>
      </w:pPr>
    </w:p>
    <w:p>
      <w:pPr>
        <w:spacing w:after="160"/>
      </w:pPr>
      <w:r>
        <w:t xml:space="preserve">For the full engineering architecture, tech stack, and AI pipeline implementation detail, see the companion document: “HealthID AI — Technical Architecture &amp; Engineering Overview.”</w:t>
      </w:r>
    </w:p>
    <w:p>
      <w:pPr>
        <w:pBdr>
          <w:bottom w:val="single" w:color="CCCCCC" w:sz="6" w:space="1"/>
        </w:pBdr>
        <w:spacing w:after="240"/>
      </w:pPr>
    </w:p>
    <w:p>
      <w:pPr>
        <w:pStyle w:val="Heading1"/>
        <w:spacing w:after="200" w:before="400"/>
      </w:pPr>
      <w:r>
        <w:t xml:space="preserve">7. Detailed Features</w:t>
      </w:r>
    </w:p>
    <w:p>
      <w:pPr>
        <w:pStyle w:val="Heading2"/>
        <w:spacing w:after="140" w:before="280"/>
      </w:pPr>
      <w:r>
        <w:t xml:space="preserve">7.1 Universal Health ID (ABHA-Aligned)</w:t>
      </w:r>
    </w:p>
    <w:p>
      <w:pPr>
        <w:pStyle w:val="ListParagraph"/>
        <w:numPr>
          <w:ilvl w:val="0"/>
          <w:numId w:val="2"/>
        </w:numPr>
        <w:spacing w:after="60"/>
      </w:pPr>
      <w:r>
        <w:rPr>
          <w:b w:val="false"/>
          <w:bCs w:val="false"/>
        </w:rPr>
        <w:t xml:space="preserve">One patient, one identity.</w:t>
      </w:r>
    </w:p>
    <w:p>
      <w:pPr>
        <w:pStyle w:val="ListParagraph"/>
        <w:numPr>
          <w:ilvl w:val="0"/>
          <w:numId w:val="2"/>
        </w:numPr>
        <w:spacing w:after="60"/>
      </w:pPr>
      <w:r>
        <w:rPr>
          <w:b w:val="false"/>
          <w:bCs w:val="false"/>
        </w:rPr>
        <w:t xml:space="preserve">Accessible across enrolled hospitals, clinics, and labs.</w:t>
      </w:r>
    </w:p>
    <w:p>
      <w:pPr>
        <w:pStyle w:val="ListParagraph"/>
        <w:numPr>
          <w:ilvl w:val="0"/>
          <w:numId w:val="2"/>
        </w:numPr>
        <w:spacing w:after="60"/>
      </w:pPr>
      <w:r>
        <w:rPr>
          <w:b w:val="false"/>
          <w:bCs w:val="false"/>
        </w:rPr>
        <w:t xml:space="preserve">QR code support for instant lookup.</w:t>
      </w:r>
    </w:p>
    <w:p>
      <w:pPr>
        <w:pStyle w:val="Heading2"/>
        <w:spacing w:after="140" w:before="280"/>
      </w:pPr>
      <w:r>
        <w:t xml:space="preserve">7.2 Smart Document Management</w:t>
      </w:r>
    </w:p>
    <w:p>
      <w:pPr>
        <w:pStyle w:val="ListParagraph"/>
        <w:numPr>
          <w:ilvl w:val="0"/>
          <w:numId w:val="2"/>
        </w:numPr>
        <w:spacing w:after="60"/>
      </w:pPr>
      <w:r>
        <w:rPr>
          <w:b w:val="false"/>
          <w:bCs w:val="false"/>
        </w:rPr>
        <w:t xml:space="preserve">Upload reports and prescriptions.</w:t>
      </w:r>
    </w:p>
    <w:p>
      <w:pPr>
        <w:pStyle w:val="ListParagraph"/>
        <w:numPr>
          <w:ilvl w:val="0"/>
          <w:numId w:val="2"/>
        </w:numPr>
        <w:spacing w:after="60"/>
      </w:pPr>
      <w:r>
        <w:rPr>
          <w:b w:val="false"/>
          <w:bCs w:val="false"/>
        </w:rPr>
        <w:t xml:space="preserve">Automatic categorization.</w:t>
      </w:r>
    </w:p>
    <w:p>
      <w:pPr>
        <w:pStyle w:val="ListParagraph"/>
        <w:numPr>
          <w:ilvl w:val="0"/>
          <w:numId w:val="2"/>
        </w:numPr>
        <w:spacing w:after="60"/>
      </w:pPr>
      <w:r>
        <w:rPr>
          <w:b w:val="false"/>
          <w:bCs w:val="false"/>
        </w:rPr>
        <w:t xml:space="preserve">Digital archive.</w:t>
      </w:r>
    </w:p>
    <w:p>
      <w:pPr>
        <w:pStyle w:val="ListParagraph"/>
        <w:numPr>
          <w:ilvl w:val="0"/>
          <w:numId w:val="2"/>
        </w:numPr>
        <w:spacing w:after="60"/>
      </w:pPr>
      <w:r>
        <w:rPr>
          <w:b w:val="false"/>
          <w:bCs w:val="false"/>
        </w:rPr>
        <w:t xml:space="preserve">OCR for scanned/handwritten reports, with a focus on small-lab handwriting quality.</w:t>
      </w:r>
    </w:p>
    <w:p>
      <w:pPr>
        <w:pStyle w:val="Heading2"/>
        <w:spacing w:after="140" w:before="280"/>
      </w:pPr>
      <w:r>
        <w:t xml:space="preserve">7.3 AI Medical Summarization</w:t>
      </w:r>
    </w:p>
    <w:p>
      <w:pPr>
        <w:spacing w:after="160"/>
      </w:pPr>
      <w:r>
        <w:rPr>
          <w:i/>
          <w:iCs/>
        </w:rPr>
        <w:t xml:space="preserve">Example outputs:</w:t>
      </w:r>
    </w:p>
    <w:p>
      <w:pPr>
        <w:pStyle w:val="ListParagraph"/>
        <w:numPr>
          <w:ilvl w:val="0"/>
          <w:numId w:val="2"/>
        </w:numPr>
        <w:spacing w:after="60"/>
      </w:pPr>
      <w:r>
        <w:rPr>
          <w:b w:val="false"/>
          <w:bCs w:val="false"/>
        </w:rPr>
        <w:t xml:space="preserve">“Patient has Type 2 Diabetes since 2019.”</w:t>
      </w:r>
    </w:p>
    <w:p>
      <w:pPr>
        <w:pStyle w:val="ListParagraph"/>
        <w:numPr>
          <w:ilvl w:val="0"/>
          <w:numId w:val="2"/>
        </w:numPr>
        <w:spacing w:after="60"/>
      </w:pPr>
      <w:r>
        <w:rPr>
          <w:b w:val="false"/>
          <w:bCs w:val="false"/>
        </w:rPr>
        <w:t xml:space="preserve">“Current medications include Metformin and Amlodipine.”</w:t>
      </w:r>
    </w:p>
    <w:p>
      <w:pPr>
        <w:pStyle w:val="ListParagraph"/>
        <w:numPr>
          <w:ilvl w:val="0"/>
          <w:numId w:val="2"/>
        </w:numPr>
        <w:spacing w:after="60"/>
      </w:pPr>
      <w:r>
        <w:rPr>
          <w:b w:val="false"/>
          <w:bCs w:val="false"/>
        </w:rPr>
        <w:t xml:space="preserve">“Allergic to Penicillin.”</w:t>
      </w:r>
    </w:p>
    <w:p>
      <w:pPr>
        <w:pStyle w:val="Heading2"/>
        <w:spacing w:after="140" w:before="280"/>
      </w:pPr>
      <w:r>
        <w:t xml:space="preserve">7.4 Semantic Search</w:t>
      </w:r>
    </w:p>
    <w:p>
      <w:pPr>
        <w:spacing w:after="160"/>
      </w:pPr>
      <w:r>
        <w:rPr>
          <w:i/>
          <w:iCs/>
        </w:rPr>
        <w:t xml:space="preserve">Doctors can ask natural-language questions such as:</w:t>
      </w:r>
    </w:p>
    <w:p>
      <w:pPr>
        <w:pStyle w:val="ListParagraph"/>
        <w:numPr>
          <w:ilvl w:val="0"/>
          <w:numId w:val="2"/>
        </w:numPr>
        <w:spacing w:after="60"/>
      </w:pPr>
      <w:r>
        <w:rPr>
          <w:b w:val="false"/>
          <w:bCs w:val="false"/>
        </w:rPr>
        <w:t xml:space="preserve">“Show all diabetes reports.”</w:t>
      </w:r>
    </w:p>
    <w:p>
      <w:pPr>
        <w:pStyle w:val="ListParagraph"/>
        <w:numPr>
          <w:ilvl w:val="0"/>
          <w:numId w:val="2"/>
        </w:numPr>
        <w:spacing w:after="60"/>
      </w:pPr>
      <w:r>
        <w:rPr>
          <w:b w:val="false"/>
          <w:bCs w:val="false"/>
        </w:rPr>
        <w:t xml:space="preserve">“Show MRI scans from 2024.”</w:t>
      </w:r>
    </w:p>
    <w:p>
      <w:pPr>
        <w:pStyle w:val="ListParagraph"/>
        <w:numPr>
          <w:ilvl w:val="0"/>
          <w:numId w:val="2"/>
        </w:numPr>
        <w:spacing w:after="60"/>
      </w:pPr>
      <w:r>
        <w:rPr>
          <w:b w:val="false"/>
          <w:bCs w:val="false"/>
        </w:rPr>
        <w:t xml:space="preserve">“List all cardiac medications.”</w:t>
      </w:r>
    </w:p>
    <w:p>
      <w:pPr>
        <w:pStyle w:val="Heading2"/>
        <w:spacing w:after="140" w:before="280"/>
      </w:pPr>
      <w:r>
        <w:t xml:space="preserve">7.5 Medication Intelligence</w:t>
      </w:r>
    </w:p>
    <w:p>
      <w:pPr>
        <w:pStyle w:val="ListParagraph"/>
        <w:numPr>
          <w:ilvl w:val="0"/>
          <w:numId w:val="2"/>
        </w:numPr>
        <w:spacing w:after="60"/>
      </w:pPr>
      <w:r>
        <w:rPr>
          <w:b w:val="false"/>
          <w:bCs w:val="false"/>
        </w:rPr>
        <w:t xml:space="preserve">Drug interaction detection.</w:t>
      </w:r>
    </w:p>
    <w:p>
      <w:pPr>
        <w:pStyle w:val="ListParagraph"/>
        <w:numPr>
          <w:ilvl w:val="0"/>
          <w:numId w:val="2"/>
        </w:numPr>
        <w:spacing w:after="60"/>
      </w:pPr>
      <w:r>
        <w:rPr>
          <w:b w:val="false"/>
          <w:bCs w:val="false"/>
        </w:rPr>
        <w:t xml:space="preserve">Duplicate medicine alerts.</w:t>
      </w:r>
    </w:p>
    <w:p>
      <w:pPr>
        <w:pStyle w:val="ListParagraph"/>
        <w:numPr>
          <w:ilvl w:val="0"/>
          <w:numId w:val="2"/>
        </w:numPr>
        <w:spacing w:after="60"/>
      </w:pPr>
      <w:r>
        <w:rPr>
          <w:b w:val="false"/>
          <w:bCs w:val="false"/>
        </w:rPr>
        <w:t xml:space="preserve">Allergy warnings.</w:t>
      </w:r>
    </w:p>
    <w:p>
      <w:pPr>
        <w:pStyle w:val="Heading2"/>
        <w:spacing w:after="140" w:before="280"/>
      </w:pPr>
      <w:r>
        <w:t xml:space="preserve">7.6 Medical Timeline</w:t>
      </w:r>
    </w:p>
    <w:p>
      <w:pPr>
        <w:pStyle w:val="ListParagraph"/>
        <w:numPr>
          <w:ilvl w:val="0"/>
          <w:numId w:val="2"/>
        </w:numPr>
        <w:spacing w:after="60"/>
      </w:pPr>
      <w:r>
        <w:rPr>
          <w:b w:val="false"/>
          <w:bCs w:val="false"/>
        </w:rPr>
        <w:t xml:space="preserve">Diseases, treatments, surgeries, lab reports, and prescriptions merged into one chronological view.</w:t>
      </w:r>
    </w:p>
    <w:p>
      <w:pPr>
        <w:pStyle w:val="Heading2"/>
        <w:spacing w:after="140" w:before="280"/>
      </w:pPr>
      <w:r>
        <w:t xml:space="preserve">7.7 Consent-Based Access</w:t>
      </w:r>
    </w:p>
    <w:p>
      <w:pPr>
        <w:pStyle w:val="ListParagraph"/>
        <w:numPr>
          <w:ilvl w:val="0"/>
          <w:numId w:val="2"/>
        </w:numPr>
        <w:spacing w:after="60"/>
      </w:pPr>
      <w:r>
        <w:rPr>
          <w:b w:val="false"/>
          <w:bCs w:val="false"/>
        </w:rPr>
        <w:t xml:space="preserve">Patient (or staff-assisted) control over who can access records.</w:t>
      </w:r>
    </w:p>
    <w:p>
      <w:pPr>
        <w:pStyle w:val="ListParagraph"/>
        <w:numPr>
          <w:ilvl w:val="0"/>
          <w:numId w:val="2"/>
        </w:numPr>
        <w:spacing w:after="60"/>
      </w:pPr>
      <w:r>
        <w:rPr>
          <w:b w:val="false"/>
          <w:bCs w:val="false"/>
        </w:rPr>
        <w:t xml:space="preserve">Temporary doctor access grants.</w:t>
      </w:r>
    </w:p>
    <w:p>
      <w:pPr>
        <w:pStyle w:val="ListParagraph"/>
        <w:numPr>
          <w:ilvl w:val="0"/>
          <w:numId w:val="2"/>
        </w:numPr>
        <w:spacing w:after="60"/>
      </w:pPr>
      <w:r>
        <w:rPr>
          <w:b w:val="false"/>
          <w:bCs w:val="false"/>
        </w:rPr>
        <w:t xml:space="preserve">Full audit history.</w:t>
      </w:r>
    </w:p>
    <w:p>
      <w:pPr>
        <w:pStyle w:val="Heading2"/>
        <w:spacing w:after="140" w:before="280"/>
      </w:pPr>
      <w:r>
        <w:t xml:space="preserve">7.8 Emergency Mode</w:t>
      </w:r>
    </w:p>
    <w:p>
      <w:pPr>
        <w:spacing w:after="160"/>
      </w:pPr>
      <w:r>
        <w:rPr>
          <w:i/>
          <w:iCs/>
        </w:rPr>
        <w:t xml:space="preserve">Emergency doctors can access critical information without full consent flow, limited to:</w:t>
      </w:r>
    </w:p>
    <w:p>
      <w:pPr>
        <w:pStyle w:val="ListParagraph"/>
        <w:numPr>
          <w:ilvl w:val="0"/>
          <w:numId w:val="2"/>
        </w:numPr>
        <w:spacing w:after="60"/>
      </w:pPr>
      <w:r>
        <w:rPr>
          <w:b w:val="false"/>
          <w:bCs w:val="false"/>
        </w:rPr>
        <w:t xml:space="preserve">Blood group.</w:t>
      </w:r>
    </w:p>
    <w:p>
      <w:pPr>
        <w:pStyle w:val="ListParagraph"/>
        <w:numPr>
          <w:ilvl w:val="0"/>
          <w:numId w:val="2"/>
        </w:numPr>
        <w:spacing w:after="60"/>
      </w:pPr>
      <w:r>
        <w:rPr>
          <w:b w:val="false"/>
          <w:bCs w:val="false"/>
        </w:rPr>
        <w:t xml:space="preserve">Allergies.</w:t>
      </w:r>
    </w:p>
    <w:p>
      <w:pPr>
        <w:pStyle w:val="ListParagraph"/>
        <w:numPr>
          <w:ilvl w:val="0"/>
          <w:numId w:val="2"/>
        </w:numPr>
        <w:spacing w:after="60"/>
      </w:pPr>
      <w:r>
        <w:rPr>
          <w:b w:val="false"/>
          <w:bCs w:val="false"/>
        </w:rPr>
        <w:t xml:space="preserve">Existing conditions.</w:t>
      </w:r>
    </w:p>
    <w:p>
      <w:pPr>
        <w:pStyle w:val="ListParagraph"/>
        <w:numPr>
          <w:ilvl w:val="0"/>
          <w:numId w:val="2"/>
        </w:numPr>
        <w:spacing w:after="60"/>
      </w:pPr>
      <w:r>
        <w:rPr>
          <w:b w:val="false"/>
          <w:bCs w:val="false"/>
        </w:rPr>
        <w:t xml:space="preserve">Emergency contacts.</w:t>
      </w:r>
    </w:p>
    <w:p>
      <w:pPr>
        <w:pBdr>
          <w:bottom w:val="single" w:color="CCCCCC" w:sz="6" w:space="1"/>
        </w:pBdr>
        <w:spacing w:after="240"/>
      </w:pPr>
    </w:p>
    <w:p>
      <w:pPr>
        <w:pStyle w:val="Heading1"/>
        <w:spacing w:after="200" w:before="400"/>
      </w:pPr>
      <w:r>
        <w:t xml:space="preserve">8. Business Model</w:t>
      </w:r>
    </w:p>
    <w:p>
      <w:pPr>
        <w:pStyle w:val="ListParagraph"/>
        <w:numPr>
          <w:ilvl w:val="0"/>
          <w:numId w:val="2"/>
        </w:numPr>
        <w:spacing w:after="60"/>
      </w:pPr>
      <w:r>
        <w:rPr>
          <w:b w:val="false"/>
          <w:bCs w:val="false"/>
        </w:rPr>
        <w:t xml:space="preserve">Records are managed on behalf of hospitals, clinics, and labs — a B2B service model, not a competing consumer record app.</w:t>
      </w:r>
    </w:p>
    <w:p>
      <w:pPr>
        <w:pStyle w:val="ListParagraph"/>
        <w:numPr>
          <w:ilvl w:val="0"/>
          <w:numId w:val="2"/>
        </w:numPr>
        <w:spacing w:after="60"/>
      </w:pPr>
      <w:r>
        <w:rPr>
          <w:b w:val="false"/>
          <w:bCs w:val="false"/>
        </w:rPr>
        <w:t xml:space="preserve">Revenue: subscription or per-patient / per-report fee charged to clinics and labs.</w:t>
      </w:r>
    </w:p>
    <w:p>
      <w:pPr>
        <w:pStyle w:val="ListParagraph"/>
        <w:numPr>
          <w:ilvl w:val="0"/>
          <w:numId w:val="2"/>
        </w:numPr>
        <w:spacing w:after="60"/>
      </w:pPr>
      <w:r>
        <w:rPr>
          <w:b w:val="false"/>
          <w:bCs w:val="false"/>
        </w:rPr>
        <w:t xml:space="preserve">Secondary path: government or NGO partnership for rural rollout (grant- or scheme-funded, not subscription-based).</w:t>
      </w:r>
    </w:p>
    <w:p>
      <w:pPr>
        <w:pStyle w:val="ListParagraph"/>
        <w:numPr>
          <w:ilvl w:val="0"/>
          <w:numId w:val="2"/>
        </w:numPr>
        <w:spacing w:after="60"/>
      </w:pPr>
      <w:r>
        <w:rPr>
          <w:b w:val="false"/>
          <w:bCs w:val="false"/>
        </w:rPr>
        <w:t xml:space="preserve">Compliance and data custodianship handled centrally by HealthID AI — reducing the burden on small providers.</w:t>
      </w:r>
    </w:p>
    <w:p>
      <w:pPr>
        <w:pBdr>
          <w:bottom w:val="single" w:color="CCCCCC" w:sz="6" w:space="1"/>
        </w:pBdr>
        <w:spacing w:after="240"/>
      </w:pPr>
    </w:p>
    <w:p>
      <w:pPr>
        <w:pStyle w:val="Heading1"/>
        <w:spacing w:after="200" w:before="400"/>
      </w:pPr>
      <w:r>
        <w:t xml:space="preserve">9. Advantages &amp; Limitations</w:t>
      </w:r>
    </w:p>
    <w:p>
      <w:pPr>
        <w:pStyle w:val="Heading2"/>
        <w:spacing w:after="140" w:before="280"/>
      </w:pPr>
      <w:r>
        <w:t xml:space="preserve">9.1 Advantages</w:t>
      </w:r>
    </w:p>
    <w:p>
      <w:pPr>
        <w:pStyle w:val="ListParagraph"/>
        <w:numPr>
          <w:ilvl w:val="0"/>
          <w:numId w:val="2"/>
        </w:numPr>
        <w:spacing w:after="60"/>
      </w:pPr>
      <w:r>
        <w:rPr>
          <w:b w:val="false"/>
          <w:bCs w:val="false"/>
        </w:rPr>
        <w:t xml:space="preserve">Paperless healthcare workflow for providers who currently have none.</w:t>
      </w:r>
    </w:p>
    <w:p>
      <w:pPr>
        <w:pStyle w:val="ListParagraph"/>
        <w:numPr>
          <w:ilvl w:val="0"/>
          <w:numId w:val="2"/>
        </w:numPr>
        <w:spacing w:after="60"/>
      </w:pPr>
      <w:r>
        <w:rPr>
          <w:b w:val="false"/>
          <w:bCs w:val="false"/>
        </w:rPr>
        <w:t xml:space="preserve">Eliminates lost reports and prescriptions.</w:t>
      </w:r>
    </w:p>
    <w:p>
      <w:pPr>
        <w:pStyle w:val="ListParagraph"/>
        <w:numPr>
          <w:ilvl w:val="0"/>
          <w:numId w:val="2"/>
        </w:numPr>
        <w:spacing w:after="60"/>
      </w:pPr>
      <w:r>
        <w:rPr>
          <w:b w:val="false"/>
          <w:bCs w:val="false"/>
        </w:rPr>
        <w:t xml:space="preserve">Faster diagnosis and treatment.</w:t>
      </w:r>
    </w:p>
    <w:p>
      <w:pPr>
        <w:pStyle w:val="ListParagraph"/>
        <w:numPr>
          <w:ilvl w:val="0"/>
          <w:numId w:val="2"/>
        </w:numPr>
        <w:spacing w:after="60"/>
      </w:pPr>
      <w:r>
        <w:rPr>
          <w:b w:val="false"/>
          <w:bCs w:val="false"/>
        </w:rPr>
        <w:t xml:space="preserve">Reduces duplicate testing.</w:t>
      </w:r>
    </w:p>
    <w:p>
      <w:pPr>
        <w:pStyle w:val="ListParagraph"/>
        <w:numPr>
          <w:ilvl w:val="0"/>
          <w:numId w:val="2"/>
        </w:numPr>
        <w:spacing w:after="60"/>
      </w:pPr>
      <w:r>
        <w:rPr>
          <w:b w:val="false"/>
          <w:bCs w:val="false"/>
        </w:rPr>
        <w:t xml:space="preserve">Patient- or staff-controlled medical history.</w:t>
      </w:r>
    </w:p>
    <w:p>
      <w:pPr>
        <w:pStyle w:val="ListParagraph"/>
        <w:numPr>
          <w:ilvl w:val="0"/>
          <w:numId w:val="2"/>
        </w:numPr>
        <w:spacing w:after="60"/>
      </w:pPr>
      <w:r>
        <w:rPr>
          <w:b w:val="false"/>
          <w:bCs w:val="false"/>
        </w:rPr>
        <w:t xml:space="preserve">Improves healthcare continuity across visits and providers.</w:t>
      </w:r>
    </w:p>
    <w:p>
      <w:pPr>
        <w:pStyle w:val="ListParagraph"/>
        <w:numPr>
          <w:ilvl w:val="0"/>
          <w:numId w:val="2"/>
        </w:numPr>
        <w:spacing w:after="60"/>
      </w:pPr>
      <w:r>
        <w:rPr>
          <w:b w:val="false"/>
          <w:bCs w:val="false"/>
        </w:rPr>
        <w:t xml:space="preserve">AI-assisted clinical decision support (assistive, not diagnostic).</w:t>
      </w:r>
    </w:p>
    <w:p>
      <w:pPr>
        <w:pStyle w:val="ListParagraph"/>
        <w:numPr>
          <w:ilvl w:val="0"/>
          <w:numId w:val="2"/>
        </w:numPr>
        <w:spacing w:after="60"/>
      </w:pPr>
      <w:r>
        <w:rPr>
          <w:b w:val="false"/>
          <w:bCs w:val="false"/>
        </w:rPr>
        <w:t xml:space="preserve">Scalable across hospitals, clinics, and labs of any size.</w:t>
      </w:r>
    </w:p>
    <w:p>
      <w:pPr>
        <w:pStyle w:val="Heading2"/>
        <w:spacing w:after="140" w:before="280"/>
      </w:pPr>
      <w:r>
        <w:t xml:space="preserve">9.2 Limitations</w:t>
      </w:r>
    </w:p>
    <w:p>
      <w:pPr>
        <w:pStyle w:val="ListParagraph"/>
        <w:numPr>
          <w:ilvl w:val="0"/>
          <w:numId w:val="2"/>
        </w:numPr>
        <w:spacing w:after="60"/>
      </w:pPr>
      <w:r>
        <w:rPr>
          <w:b w:val="false"/>
          <w:bCs w:val="false"/>
        </w:rPr>
        <w:t xml:space="preserve">Requires healthcare provider adoption — change management is real work.</w:t>
      </w:r>
    </w:p>
    <w:p>
      <w:pPr>
        <w:pStyle w:val="ListParagraph"/>
        <w:numPr>
          <w:ilvl w:val="0"/>
          <w:numId w:val="2"/>
        </w:numPr>
        <w:spacing w:after="60"/>
      </w:pPr>
      <w:r>
        <w:rPr>
          <w:b w:val="false"/>
          <w:bCs w:val="false"/>
        </w:rPr>
        <w:t xml:space="preserve">Integration with existing hospital systems can be complex.</w:t>
      </w:r>
    </w:p>
    <w:p>
      <w:pPr>
        <w:pStyle w:val="ListParagraph"/>
        <w:numPr>
          <w:ilvl w:val="0"/>
          <w:numId w:val="2"/>
        </w:numPr>
        <w:spacing w:after="60"/>
      </w:pPr>
      <w:r>
        <w:rPr>
          <w:b w:val="false"/>
          <w:bCs w:val="false"/>
        </w:rPr>
        <w:t xml:space="preserve">Regulatory compliance requirements (ABDM/HIP registration, data protection) are significant.</w:t>
      </w:r>
    </w:p>
    <w:p>
      <w:pPr>
        <w:pStyle w:val="ListParagraph"/>
        <w:numPr>
          <w:ilvl w:val="0"/>
          <w:numId w:val="2"/>
        </w:numPr>
        <w:spacing w:after="60"/>
      </w:pPr>
      <w:r>
        <w:rPr>
          <w:b w:val="false"/>
          <w:bCs w:val="false"/>
        </w:rPr>
        <w:t xml:space="preserve">Data privacy and security challenges, especially with sensitive clinical data.</w:t>
      </w:r>
    </w:p>
    <w:p>
      <w:pPr>
        <w:pStyle w:val="ListParagraph"/>
        <w:numPr>
          <w:ilvl w:val="0"/>
          <w:numId w:val="2"/>
        </w:numPr>
        <w:spacing w:after="60"/>
      </w:pPr>
      <w:r>
        <w:rPr>
          <w:b w:val="false"/>
          <w:bCs w:val="false"/>
        </w:rPr>
        <w:t xml:space="preserve">Initial onboarding effort for institutions, particularly low-digital-literacy rural staff.</w:t>
      </w:r>
    </w:p>
    <w:p>
      <w:pPr>
        <w:pBdr>
          <w:bottom w:val="single" w:color="CCCCCC" w:sz="6" w:space="1"/>
        </w:pBdr>
        <w:spacing w:after="240"/>
      </w:pPr>
    </w:p>
    <w:p>
      <w:pPr>
        <w:pStyle w:val="Heading1"/>
        <w:spacing w:after="200" w:before="400"/>
      </w:pPr>
      <w:r>
        <w:t xml:space="preserve">10. Future Scope</w:t>
      </w:r>
    </w:p>
    <w:p>
      <w:pPr>
        <w:pStyle w:val="Heading2"/>
        <w:spacing w:after="140" w:before="280"/>
      </w:pPr>
      <w:r>
        <w:t xml:space="preserve">10.1 AI Health Assistant</w:t>
      </w:r>
    </w:p>
    <w:p>
      <w:pPr>
        <w:pStyle w:val="ListParagraph"/>
        <w:numPr>
          <w:ilvl w:val="0"/>
          <w:numId w:val="2"/>
        </w:numPr>
        <w:spacing w:after="60"/>
      </w:pPr>
      <w:r>
        <w:rPr>
          <w:b w:val="false"/>
          <w:bCs w:val="false"/>
        </w:rPr>
        <w:t xml:space="preserve">Symptom tracking.</w:t>
      </w:r>
    </w:p>
    <w:p>
      <w:pPr>
        <w:pStyle w:val="ListParagraph"/>
        <w:numPr>
          <w:ilvl w:val="0"/>
          <w:numId w:val="2"/>
        </w:numPr>
        <w:spacing w:after="60"/>
      </w:pPr>
      <w:r>
        <w:rPr>
          <w:b w:val="false"/>
          <w:bCs w:val="false"/>
        </w:rPr>
        <w:t xml:space="preserve">Health recommendations.</w:t>
      </w:r>
    </w:p>
    <w:p>
      <w:pPr>
        <w:pStyle w:val="ListParagraph"/>
        <w:numPr>
          <w:ilvl w:val="0"/>
          <w:numId w:val="2"/>
        </w:numPr>
        <w:spacing w:after="60"/>
      </w:pPr>
      <w:r>
        <w:rPr>
          <w:b w:val="false"/>
          <w:bCs w:val="false"/>
        </w:rPr>
        <w:t xml:space="preserve">Follow-up reminders.</w:t>
      </w:r>
    </w:p>
    <w:p>
      <w:pPr>
        <w:pStyle w:val="Heading2"/>
        <w:spacing w:after="140" w:before="280"/>
      </w:pPr>
      <w:r>
        <w:t xml:space="preserve">10.2 Wearable Integration</w:t>
      </w:r>
    </w:p>
    <w:p>
      <w:pPr>
        <w:pStyle w:val="ListParagraph"/>
        <w:numPr>
          <w:ilvl w:val="0"/>
          <w:numId w:val="2"/>
        </w:numPr>
        <w:spacing w:after="60"/>
      </w:pPr>
      <w:r>
        <w:rPr>
          <w:b w:val="false"/>
          <w:bCs w:val="false"/>
        </w:rPr>
        <w:t xml:space="preserve">Smartwatch health monitoring.</w:t>
      </w:r>
    </w:p>
    <w:p>
      <w:pPr>
        <w:pStyle w:val="ListParagraph"/>
        <w:numPr>
          <w:ilvl w:val="0"/>
          <w:numId w:val="2"/>
        </w:numPr>
        <w:spacing w:after="60"/>
      </w:pPr>
      <w:r>
        <w:rPr>
          <w:b w:val="false"/>
          <w:bCs w:val="false"/>
        </w:rPr>
        <w:t xml:space="preserve">Continuous health updates.</w:t>
      </w:r>
    </w:p>
    <w:p>
      <w:pPr>
        <w:pStyle w:val="Heading2"/>
        <w:spacing w:after="140" w:before="280"/>
      </w:pPr>
      <w:r>
        <w:t xml:space="preserve">10.3 Hospital Interoperability</w:t>
      </w:r>
    </w:p>
    <w:p>
      <w:pPr>
        <w:pStyle w:val="ListParagraph"/>
        <w:numPr>
          <w:ilvl w:val="0"/>
          <w:numId w:val="2"/>
        </w:numPr>
        <w:spacing w:after="60"/>
      </w:pPr>
      <w:r>
        <w:rPr>
          <w:b w:val="false"/>
          <w:bCs w:val="false"/>
        </w:rPr>
        <w:t xml:space="preserve">EMR integration.</w:t>
      </w:r>
    </w:p>
    <w:p>
      <w:pPr>
        <w:pStyle w:val="ListParagraph"/>
        <w:numPr>
          <w:ilvl w:val="0"/>
          <w:numId w:val="2"/>
        </w:numPr>
        <w:spacing w:after="60"/>
      </w:pPr>
      <w:r>
        <w:rPr>
          <w:b w:val="false"/>
          <w:bCs w:val="false"/>
        </w:rPr>
        <w:t xml:space="preserve">Insurance integration.</w:t>
      </w:r>
    </w:p>
    <w:p>
      <w:pPr>
        <w:pStyle w:val="ListParagraph"/>
        <w:numPr>
          <w:ilvl w:val="0"/>
          <w:numId w:val="2"/>
        </w:numPr>
        <w:spacing w:after="60"/>
      </w:pPr>
      <w:r>
        <w:rPr>
          <w:b w:val="false"/>
          <w:bCs w:val="false"/>
        </w:rPr>
        <w:t xml:space="preserve">Pharmacy integration.</w:t>
      </w:r>
    </w:p>
    <w:p>
      <w:pPr>
        <w:pStyle w:val="Heading2"/>
        <w:spacing w:after="140" w:before="280"/>
      </w:pPr>
      <w:r>
        <w:t xml:space="preserve">10.4 Predictive Healthcare Analytics</w:t>
      </w:r>
    </w:p>
    <w:p>
      <w:pPr>
        <w:pStyle w:val="ListParagraph"/>
        <w:numPr>
          <w:ilvl w:val="0"/>
          <w:numId w:val="2"/>
        </w:numPr>
        <w:spacing w:after="60"/>
      </w:pPr>
      <w:r>
        <w:rPr>
          <w:b w:val="false"/>
          <w:bCs w:val="false"/>
        </w:rPr>
        <w:t xml:space="preserve">Risk prediction.</w:t>
      </w:r>
    </w:p>
    <w:p>
      <w:pPr>
        <w:pStyle w:val="ListParagraph"/>
        <w:numPr>
          <w:ilvl w:val="0"/>
          <w:numId w:val="2"/>
        </w:numPr>
        <w:spacing w:after="60"/>
      </w:pPr>
      <w:r>
        <w:rPr>
          <w:b w:val="false"/>
          <w:bCs w:val="false"/>
        </w:rPr>
        <w:t xml:space="preserve">Chronic disease monitoring.</w:t>
      </w:r>
    </w:p>
    <w:p>
      <w:pPr>
        <w:pStyle w:val="ListParagraph"/>
        <w:numPr>
          <w:ilvl w:val="0"/>
          <w:numId w:val="2"/>
        </w:numPr>
        <w:spacing w:after="60"/>
      </w:pPr>
      <w:r>
        <w:rPr>
          <w:b w:val="false"/>
          <w:bCs w:val="false"/>
        </w:rPr>
        <w:t xml:space="preserve">Early warning systems.</w:t>
      </w:r>
    </w:p>
    <w:p>
      <w:pPr>
        <w:pStyle w:val="Heading2"/>
        <w:spacing w:after="140" w:before="280"/>
      </w:pPr>
      <w:r>
        <w:t xml:space="preserve">10.5 Healthcare Robotics Integration (Long-Term)</w:t>
      </w:r>
    </w:p>
    <w:p>
      <w:pPr>
        <w:pStyle w:val="ListParagraph"/>
        <w:numPr>
          <w:ilvl w:val="0"/>
          <w:numId w:val="2"/>
        </w:numPr>
        <w:spacing w:after="60"/>
      </w:pPr>
      <w:r>
        <w:rPr>
          <w:b w:val="false"/>
          <w:bCs w:val="false"/>
        </w:rPr>
        <w:t xml:space="preserve">Robot-assisted patient support.</w:t>
      </w:r>
    </w:p>
    <w:p>
      <w:pPr>
        <w:pStyle w:val="ListParagraph"/>
        <w:numPr>
          <w:ilvl w:val="0"/>
          <w:numId w:val="2"/>
        </w:numPr>
        <w:spacing w:after="60"/>
      </w:pPr>
      <w:r>
        <w:rPr>
          <w:b w:val="false"/>
          <w:bCs w:val="false"/>
        </w:rPr>
        <w:t xml:space="preserve">Elder care systems.</w:t>
      </w:r>
    </w:p>
    <w:p>
      <w:pPr>
        <w:pStyle w:val="ListParagraph"/>
        <w:numPr>
          <w:ilvl w:val="0"/>
          <w:numId w:val="2"/>
        </w:numPr>
        <w:spacing w:after="60"/>
      </w:pPr>
      <w:r>
        <w:rPr>
          <w:b w:val="false"/>
          <w:bCs w:val="false"/>
        </w:rPr>
        <w:t xml:space="preserve">Smart home healthcare assistants.</w:t>
      </w:r>
    </w:p>
    <w:p>
      <w:pPr>
        <w:pBdr>
          <w:bottom w:val="single" w:color="CCCCCC" w:sz="6" w:space="1"/>
        </w:pBdr>
        <w:spacing w:after="240"/>
      </w:pPr>
    </w:p>
    <w:p>
      <w:pPr>
        <w:pStyle w:val="Heading1"/>
        <w:spacing w:after="200" w:before="400"/>
      </w:pPr>
      <w:r>
        <w:t xml:space="preserve">11. Immediate Next Steps to Validate</w:t>
      </w:r>
    </w:p>
    <w:p>
      <w:pPr>
        <w:pStyle w:val="ListParagraph"/>
        <w:numPr>
          <w:ilvl w:val="0"/>
          <w:numId w:val="2"/>
        </w:numPr>
        <w:spacing w:after="60"/>
      </w:pPr>
      <w:r>
        <w:rPr>
          <w:b w:val="false"/>
          <w:bCs w:val="false"/>
        </w:rPr>
        <w:t xml:space="preserve">Talk to 5–10 small clinic/lab owners, including at least 2–3 rural providers — confirm willingness to adopt and pricing tolerance.</w:t>
      </w:r>
    </w:p>
    <w:p>
      <w:pPr>
        <w:pStyle w:val="ListParagraph"/>
        <w:numPr>
          <w:ilvl w:val="0"/>
          <w:numId w:val="2"/>
        </w:numPr>
        <w:spacing w:after="60"/>
      </w:pPr>
      <w:r>
        <w:rPr>
          <w:b w:val="false"/>
          <w:bCs w:val="false"/>
        </w:rPr>
        <w:t xml:space="preserve">Check the actual technical and cost requirements to become an NHA-registered HIP (Health Information Provider).</w:t>
      </w:r>
    </w:p>
    <w:p>
      <w:pPr>
        <w:pStyle w:val="ListParagraph"/>
        <w:numPr>
          <w:ilvl w:val="0"/>
          <w:numId w:val="2"/>
        </w:numPr>
        <w:spacing w:after="60"/>
      </w:pPr>
      <w:r>
        <w:rPr>
          <w:b w:val="false"/>
          <w:bCs w:val="false"/>
        </w:rPr>
        <w:t xml:space="preserve">Prototype OCR + AI summarization on real, anonymized lab reports.</w:t>
      </w:r>
    </w:p>
    <w:p>
      <w:pPr>
        <w:pStyle w:val="ListParagraph"/>
        <w:numPr>
          <w:ilvl w:val="0"/>
          <w:numId w:val="2"/>
        </w:numPr>
        <w:spacing w:after="60"/>
      </w:pPr>
      <w:r>
        <w:rPr>
          <w:b w:val="false"/>
          <w:bCs w:val="false"/>
        </w:rPr>
        <w:t xml:space="preserve">Explore government digital health scheme partnerships (state-level ABDM push, NHA digital public good programs).</w:t>
      </w:r>
    </w:p>
    <w:p>
      <w:pPr>
        <w:pBdr>
          <w:bottom w:val="single" w:color="CCCCCC" w:sz="6" w:space="1"/>
        </w:pBdr>
        <w:spacing w:after="240"/>
      </w:pPr>
    </w:p>
    <w:p>
      <w:pPr>
        <w:pStyle w:val="Heading1"/>
        <w:spacing w:after="200" w:before="400"/>
      </w:pPr>
      <w:r>
        <w:t xml:space="preserve">12. Conclusion</w:t>
      </w:r>
    </w:p>
    <w:p>
      <w:pPr>
        <w:spacing w:after="160"/>
      </w:pPr>
      <w:r>
        <w:t xml:space="preserve">HealthID AI represents a next-generation digital healthcare infrastructure play that combines AI-powered medical intelligence, a unified patient record, secure healthcare data exchange, and paperless workflows — aimed specifically at the providers India's existing digital health infrastructure has not yet reached. The platform lets healthcare providers make faster, better-informed decisions while giving patients ownership of their medical history.</w:t>
      </w:r>
    </w:p>
    <w:p>
      <w:pPr>
        <w:spacing w:before="300"/>
        <w:jc w:val="center"/>
      </w:pPr>
      <w:r>
        <w:rPr>
          <w:b/>
          <w:bCs/>
          <w:i/>
          <w:iCs/>
          <w:color w:val="1F3B57"/>
          <w:sz w:val="24"/>
          <w:szCs w:val="24"/>
        </w:rPr>
        <w:t xml:space="preserve">Tagline: “One Patient. One Health Identity. Anywhere, Anytime.”</w:t>
      </w:r>
    </w:p>
    <w:p>
      <w:pPr>
        <w:spacing w:before="100"/>
        <w:jc w:val="center"/>
      </w:pPr>
      <w:r>
        <w:rPr>
          <w:i/>
          <w:iCs/>
          <w:color w:val="666666"/>
        </w:rPr>
        <w:t xml:space="preserve">Vision: To become the universal digital health identity layer for the healthcare ecosystem.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8" w:space="4"/>
      </w:pBdr>
      <w:spacing w:after="180" w:before="360"/>
    </w:pPr>
    <w:rPr>
      <w:rFonts w:ascii="Calibri" w:cs="Calibri" w:eastAsia="Calibri" w:hAnsi="Calibri"/>
      <w:b/>
      <w:bCs/>
      <w:color w:val="1F3B57"/>
      <w:sz w:val="30"/>
      <w:szCs w:val="30"/>
    </w:rPr>
  </w:style>
  <w:style w:type="paragraph" w:styleId="Heading2">
    <w:name w:val="Heading 2"/>
    <w:basedOn w:val="Normal"/>
    <w:next w:val="Normal"/>
    <w:qFormat/>
    <w:pPr>
      <w:spacing w:after="120" w:before="260"/>
    </w:pPr>
    <w:rPr>
      <w:rFonts w:ascii="Calibri" w:cs="Calibri" w:eastAsia="Calibri" w:hAnsi="Calibri"/>
      <w:b/>
      <w:bCs/>
      <w:color w:val="0E7C7B"/>
      <w:sz w:val="25"/>
      <w:szCs w:val="25"/>
    </w:rPr>
  </w:style>
  <w:style w:type="paragraph" w:styleId="Heading3">
    <w:name w:val="Heading 3"/>
    <w:basedOn w:val="Normal"/>
    <w:next w:val="Normal"/>
    <w:qFormat/>
    <w:pPr>
      <w:spacing w:after="100" w:before="200"/>
    </w:pPr>
    <w:rPr>
      <w:rFonts w:ascii="Calibri" w:cs="Calibri" w:eastAsia="Calibri" w:hAnsi="Calibri"/>
      <w:b/>
      <w:bCs/>
      <w:i/>
      <w:i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2026-07-23T06:10:14.787Z</dcterms:created>
  <dcterms:modified xsi:type="dcterms:W3CDTF">2026-07-23T06:10:15.250Z</dcterms:modified>
</cp:coreProperties>
</file>

<file path=docProps/custom.xml><?xml version="1.0" encoding="utf-8"?>
<Properties xmlns="http://schemas.openxmlformats.org/officeDocument/2006/custom-properties" xmlns:vt="http://schemas.openxmlformats.org/officeDocument/2006/docPropsVTypes"/>
</file>