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78EB6" w14:textId="77777777" w:rsidR="009008BA" w:rsidRDefault="009008BA" w:rsidP="009008BA">
      <w:pPr>
        <w:pStyle w:val="Heading1"/>
        <w:widowControl w:val="0"/>
        <w:spacing w:line="240" w:lineRule="auto"/>
        <w:jc w:val="center"/>
      </w:pPr>
      <w:r>
        <w:t>Supplementary Materials</w:t>
      </w:r>
    </w:p>
    <w:p w14:paraId="0B4A8089" w14:textId="77777777" w:rsidR="009008BA" w:rsidRDefault="009008BA" w:rsidP="00900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</w:pPr>
    </w:p>
    <w:p w14:paraId="4431C5E3" w14:textId="77777777" w:rsidR="009008BA" w:rsidRDefault="009008BA" w:rsidP="00900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</w:pPr>
    </w:p>
    <w:p w14:paraId="359FED19" w14:textId="7B2CFBF7" w:rsidR="009008BA" w:rsidRDefault="009008BA" w:rsidP="009008BA">
      <w:pPr>
        <w:widowControl w:val="0"/>
        <w:spacing w:line="240" w:lineRule="auto"/>
      </w:pPr>
      <w:r>
        <w:rPr>
          <w:b/>
        </w:rPr>
        <w:t>Supplementary Table 1.</w:t>
      </w:r>
      <w:r>
        <w:t xml:space="preserve"> Clinical populations within the adherent and non-adherent classes.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2190"/>
        <w:gridCol w:w="2715"/>
      </w:tblGrid>
      <w:tr w:rsidR="009008BA" w14:paraId="20FFC80F" w14:textId="77777777" w:rsidTr="00F232D8"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57B3DE" w14:textId="77777777" w:rsidR="009008BA" w:rsidRDefault="009008BA" w:rsidP="00F232D8">
            <w:pPr>
              <w:spacing w:line="240" w:lineRule="auto"/>
              <w:rPr>
                <w:b/>
              </w:rPr>
            </w:pPr>
            <w:r>
              <w:rPr>
                <w:b/>
              </w:rPr>
              <w:t>Indication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9C390B" w14:textId="77777777" w:rsidR="009008BA" w:rsidRDefault="009008BA" w:rsidP="00F232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Adherent (&gt;80%)</w:t>
            </w:r>
          </w:p>
          <w:p w14:paraId="12453C55" w14:textId="77777777" w:rsidR="009008BA" w:rsidRDefault="009008BA" w:rsidP="00F232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i/>
              </w:rPr>
              <w:t>n</w:t>
            </w:r>
            <w:r>
              <w:rPr>
                <w:b/>
              </w:rPr>
              <w:t xml:space="preserve"> = 2864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283A7C" w14:textId="77777777" w:rsidR="009008BA" w:rsidRDefault="009008BA" w:rsidP="00F232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Non-adherent (&lt;80%)</w:t>
            </w:r>
          </w:p>
          <w:p w14:paraId="735863F6" w14:textId="77777777" w:rsidR="009008BA" w:rsidRDefault="009008BA" w:rsidP="00F232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i/>
              </w:rPr>
              <w:t>n</w:t>
            </w:r>
            <w:r>
              <w:rPr>
                <w:b/>
              </w:rPr>
              <w:t xml:space="preserve"> = 1318</w:t>
            </w:r>
          </w:p>
        </w:tc>
      </w:tr>
      <w:tr w:rsidR="009008BA" w14:paraId="380B1946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AAAC50" w14:textId="77777777" w:rsidR="009008BA" w:rsidRDefault="009008BA" w:rsidP="00F232D8">
            <w:pPr>
              <w:spacing w:line="240" w:lineRule="auto"/>
            </w:pPr>
            <w:r>
              <w:t>Addiction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129C5" w14:textId="77777777" w:rsidR="009008BA" w:rsidRDefault="009008BA" w:rsidP="00F232D8">
            <w:pPr>
              <w:spacing w:line="240" w:lineRule="auto"/>
              <w:jc w:val="center"/>
            </w:pPr>
            <w:r>
              <w:t>278 (44 %)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CC2097" w14:textId="77777777" w:rsidR="009008BA" w:rsidRDefault="009008BA" w:rsidP="00F232D8">
            <w:pPr>
              <w:spacing w:line="240" w:lineRule="auto"/>
              <w:jc w:val="center"/>
            </w:pPr>
            <w:r>
              <w:t>354 (56 %)</w:t>
            </w:r>
          </w:p>
        </w:tc>
      </w:tr>
      <w:tr w:rsidR="009008BA" w14:paraId="3A72BC02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D552CC" w14:textId="77777777" w:rsidR="009008BA" w:rsidRDefault="009008BA" w:rsidP="00F232D8">
            <w:pPr>
              <w:spacing w:line="240" w:lineRule="auto"/>
            </w:pPr>
            <w:r>
              <w:t>Attention-deficit hyperactive disorder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D610B6" w14:textId="77777777" w:rsidR="009008BA" w:rsidRDefault="009008BA" w:rsidP="00F232D8">
            <w:pPr>
              <w:spacing w:line="240" w:lineRule="auto"/>
              <w:jc w:val="center"/>
            </w:pPr>
            <w:r>
              <w:t>660 (59.2 %)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4BDD3A" w14:textId="77777777" w:rsidR="009008BA" w:rsidRDefault="009008BA" w:rsidP="00F232D8">
            <w:pPr>
              <w:spacing w:line="240" w:lineRule="auto"/>
              <w:jc w:val="center"/>
            </w:pPr>
            <w:r>
              <w:t>455 (40.8 %)</w:t>
            </w:r>
          </w:p>
        </w:tc>
      </w:tr>
      <w:tr w:rsidR="009008BA" w14:paraId="1289B037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A36C92" w14:textId="77777777" w:rsidR="009008BA" w:rsidRDefault="009008BA" w:rsidP="00F232D8">
            <w:pPr>
              <w:spacing w:line="240" w:lineRule="auto"/>
            </w:pPr>
            <w:r>
              <w:t>Bipolar depression disorder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8900B2" w14:textId="77777777" w:rsidR="009008BA" w:rsidRDefault="009008BA" w:rsidP="00F232D8">
            <w:pPr>
              <w:spacing w:line="240" w:lineRule="auto"/>
              <w:jc w:val="center"/>
            </w:pPr>
            <w:r>
              <w:t>17 (63 %)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EC7678" w14:textId="77777777" w:rsidR="009008BA" w:rsidRDefault="009008BA" w:rsidP="00F232D8">
            <w:pPr>
              <w:spacing w:line="240" w:lineRule="auto"/>
              <w:jc w:val="center"/>
            </w:pPr>
            <w:r>
              <w:t>10 (37 %)</w:t>
            </w:r>
          </w:p>
        </w:tc>
      </w:tr>
      <w:tr w:rsidR="009008BA" w14:paraId="1A4D4874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39E08F" w14:textId="77777777" w:rsidR="009008BA" w:rsidRDefault="009008BA" w:rsidP="00F232D8">
            <w:pPr>
              <w:spacing w:line="240" w:lineRule="auto"/>
            </w:pPr>
            <w:r>
              <w:t>Chronic obstructive pulmonary disease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898BB" w14:textId="77777777" w:rsidR="009008BA" w:rsidRDefault="009008BA" w:rsidP="00F232D8">
            <w:pPr>
              <w:spacing w:line="240" w:lineRule="auto"/>
              <w:jc w:val="center"/>
            </w:pPr>
            <w:r>
              <w:t>0 (0 %)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B7FC0C" w14:textId="77777777" w:rsidR="009008BA" w:rsidRDefault="009008BA" w:rsidP="00F232D8">
            <w:pPr>
              <w:spacing w:line="240" w:lineRule="auto"/>
              <w:jc w:val="center"/>
            </w:pPr>
            <w:r>
              <w:t>1 (100 %)</w:t>
            </w:r>
          </w:p>
        </w:tc>
      </w:tr>
      <w:tr w:rsidR="009008BA" w14:paraId="0106ABEE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E159CB" w14:textId="77777777" w:rsidR="009008BA" w:rsidRDefault="009008BA" w:rsidP="00F232D8">
            <w:pPr>
              <w:spacing w:line="240" w:lineRule="auto"/>
            </w:pPr>
            <w:r>
              <w:t xml:space="preserve">Congestive heart failure      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3E7771" w14:textId="77777777" w:rsidR="009008BA" w:rsidRDefault="009008BA" w:rsidP="00F232D8">
            <w:pPr>
              <w:spacing w:line="240" w:lineRule="auto"/>
              <w:jc w:val="center"/>
            </w:pPr>
            <w:r>
              <w:t>29 (74.4 %)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791AD1" w14:textId="77777777" w:rsidR="009008BA" w:rsidRDefault="009008BA" w:rsidP="00F232D8">
            <w:pPr>
              <w:spacing w:line="240" w:lineRule="auto"/>
              <w:jc w:val="center"/>
            </w:pPr>
            <w:r>
              <w:t>10 (25.6 %)</w:t>
            </w:r>
          </w:p>
        </w:tc>
      </w:tr>
      <w:tr w:rsidR="009008BA" w14:paraId="012EA49E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FE816E" w14:textId="77777777" w:rsidR="009008BA" w:rsidRDefault="009008BA" w:rsidP="00F232D8">
            <w:pPr>
              <w:spacing w:line="240" w:lineRule="auto"/>
            </w:pPr>
            <w:r>
              <w:t>Epilepsy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B84D19" w14:textId="77777777" w:rsidR="009008BA" w:rsidRDefault="009008BA" w:rsidP="00F232D8">
            <w:pPr>
              <w:spacing w:line="240" w:lineRule="auto"/>
              <w:jc w:val="center"/>
            </w:pPr>
            <w:r>
              <w:t>5 (71.4 %)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72B24B" w14:textId="77777777" w:rsidR="009008BA" w:rsidRDefault="009008BA" w:rsidP="00F232D8">
            <w:pPr>
              <w:spacing w:line="240" w:lineRule="auto"/>
              <w:jc w:val="center"/>
            </w:pPr>
            <w:r>
              <w:t>2 (28.6 %)</w:t>
            </w:r>
          </w:p>
        </w:tc>
      </w:tr>
      <w:tr w:rsidR="009008BA" w14:paraId="4FEDA765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6DEBCE" w14:textId="77777777" w:rsidR="009008BA" w:rsidRDefault="009008BA" w:rsidP="00F232D8">
            <w:pPr>
              <w:spacing w:line="240" w:lineRule="auto"/>
            </w:pPr>
            <w:r>
              <w:t>Healthy volunteers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FC36B3" w14:textId="77777777" w:rsidR="009008BA" w:rsidRDefault="009008BA" w:rsidP="00F232D8">
            <w:pPr>
              <w:spacing w:line="240" w:lineRule="auto"/>
              <w:jc w:val="center"/>
            </w:pPr>
            <w:r>
              <w:t>306 (90 %)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CB2F98" w14:textId="77777777" w:rsidR="009008BA" w:rsidRDefault="009008BA" w:rsidP="00F232D8">
            <w:pPr>
              <w:spacing w:line="240" w:lineRule="auto"/>
              <w:jc w:val="center"/>
            </w:pPr>
            <w:r>
              <w:t>34 (10 %)</w:t>
            </w:r>
          </w:p>
        </w:tc>
      </w:tr>
      <w:tr w:rsidR="009008BA" w14:paraId="16082AA9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BAAFA" w14:textId="77777777" w:rsidR="009008BA" w:rsidRDefault="009008BA" w:rsidP="00F232D8">
            <w:pPr>
              <w:spacing w:line="240" w:lineRule="auto"/>
            </w:pPr>
            <w:r>
              <w:t>Hepatitis C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1B1820" w14:textId="77777777" w:rsidR="009008BA" w:rsidRDefault="009008BA" w:rsidP="00F232D8">
            <w:pPr>
              <w:spacing w:line="240" w:lineRule="auto"/>
              <w:jc w:val="center"/>
            </w:pPr>
            <w:r>
              <w:t>60 (88.2 %)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7985A1" w14:textId="77777777" w:rsidR="009008BA" w:rsidRDefault="009008BA" w:rsidP="00F232D8">
            <w:pPr>
              <w:spacing w:line="240" w:lineRule="auto"/>
              <w:jc w:val="center"/>
            </w:pPr>
            <w:r>
              <w:t>8 (11.8 %)</w:t>
            </w:r>
          </w:p>
        </w:tc>
      </w:tr>
      <w:tr w:rsidR="009008BA" w14:paraId="1DF9CD65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95F93" w14:textId="77777777" w:rsidR="009008BA" w:rsidRDefault="009008BA" w:rsidP="00F232D8">
            <w:pPr>
              <w:spacing w:line="240" w:lineRule="auto"/>
            </w:pPr>
            <w:r>
              <w:t>HIV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B45D7F" w14:textId="77777777" w:rsidR="009008BA" w:rsidRDefault="009008BA" w:rsidP="00F232D8">
            <w:pPr>
              <w:spacing w:line="240" w:lineRule="auto"/>
              <w:jc w:val="center"/>
            </w:pPr>
            <w:r>
              <w:t>40 (46.5 %)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73BBD6" w14:textId="77777777" w:rsidR="009008BA" w:rsidRDefault="009008BA" w:rsidP="00F232D8">
            <w:pPr>
              <w:spacing w:line="240" w:lineRule="auto"/>
              <w:jc w:val="center"/>
            </w:pPr>
            <w:r>
              <w:t>46 (53.5 %)</w:t>
            </w:r>
          </w:p>
        </w:tc>
      </w:tr>
      <w:tr w:rsidR="009008BA" w14:paraId="26CDA467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496E91" w14:textId="77777777" w:rsidR="009008BA" w:rsidRDefault="009008BA" w:rsidP="00F232D8">
            <w:pPr>
              <w:spacing w:line="240" w:lineRule="auto"/>
            </w:pPr>
            <w:r>
              <w:t>Major depressive disorder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3601C" w14:textId="77777777" w:rsidR="009008BA" w:rsidRDefault="009008BA" w:rsidP="00F232D8">
            <w:pPr>
              <w:spacing w:line="240" w:lineRule="auto"/>
              <w:jc w:val="center"/>
            </w:pPr>
            <w:r>
              <w:t>675 (86.9 %)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2AC4D2" w14:textId="77777777" w:rsidR="009008BA" w:rsidRDefault="009008BA" w:rsidP="00F232D8">
            <w:pPr>
              <w:spacing w:line="240" w:lineRule="auto"/>
              <w:jc w:val="center"/>
            </w:pPr>
            <w:r>
              <w:t>102 (13.1 %)</w:t>
            </w:r>
          </w:p>
        </w:tc>
      </w:tr>
      <w:tr w:rsidR="009008BA" w14:paraId="560E25F6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28D46B" w14:textId="77777777" w:rsidR="009008BA" w:rsidRDefault="009008BA" w:rsidP="00F232D8">
            <w:pPr>
              <w:spacing w:line="240" w:lineRule="auto"/>
            </w:pPr>
            <w:r>
              <w:t>Parkinson’s diseases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9CDE9" w14:textId="77777777" w:rsidR="009008BA" w:rsidRDefault="009008BA" w:rsidP="00F232D8">
            <w:pPr>
              <w:spacing w:line="240" w:lineRule="auto"/>
              <w:jc w:val="center"/>
            </w:pPr>
            <w:r>
              <w:t>1 (50 %)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0D3099" w14:textId="77777777" w:rsidR="009008BA" w:rsidRDefault="009008BA" w:rsidP="00F232D8">
            <w:pPr>
              <w:spacing w:line="240" w:lineRule="auto"/>
              <w:jc w:val="center"/>
            </w:pPr>
            <w:r>
              <w:t>1 (50 %)</w:t>
            </w:r>
          </w:p>
        </w:tc>
      </w:tr>
      <w:tr w:rsidR="009008BA" w14:paraId="5557FCF8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33A09" w14:textId="77777777" w:rsidR="009008BA" w:rsidRDefault="009008BA" w:rsidP="00F232D8">
            <w:pPr>
              <w:spacing w:line="240" w:lineRule="auto"/>
            </w:pPr>
            <w:r>
              <w:t>Post-traumatic stress disorder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666C25" w14:textId="77777777" w:rsidR="009008BA" w:rsidRDefault="009008BA" w:rsidP="00F232D8">
            <w:pPr>
              <w:spacing w:line="240" w:lineRule="auto"/>
              <w:jc w:val="center"/>
            </w:pPr>
            <w:r>
              <w:t>74 (86 %)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4FB177" w14:textId="77777777" w:rsidR="009008BA" w:rsidRDefault="009008BA" w:rsidP="00F232D8">
            <w:pPr>
              <w:spacing w:line="240" w:lineRule="auto"/>
              <w:jc w:val="center"/>
            </w:pPr>
            <w:r>
              <w:t>12 (14 %)</w:t>
            </w:r>
          </w:p>
        </w:tc>
      </w:tr>
      <w:tr w:rsidR="009008BA" w14:paraId="3E5E6FD2" w14:textId="77777777" w:rsidTr="00F232D8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908EA9" w14:textId="77777777" w:rsidR="009008BA" w:rsidRDefault="009008BA" w:rsidP="00F232D8">
            <w:pPr>
              <w:spacing w:line="240" w:lineRule="auto"/>
            </w:pPr>
            <w:r>
              <w:t>Psoriasis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DB7B1" w14:textId="77777777" w:rsidR="009008BA" w:rsidRDefault="009008BA" w:rsidP="00F232D8">
            <w:pPr>
              <w:spacing w:line="240" w:lineRule="auto"/>
              <w:jc w:val="center"/>
            </w:pPr>
            <w:r>
              <w:t>31 (96.9 %)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3CFA64" w14:textId="77777777" w:rsidR="009008BA" w:rsidRDefault="009008BA" w:rsidP="00F232D8">
            <w:pPr>
              <w:spacing w:line="240" w:lineRule="auto"/>
              <w:jc w:val="center"/>
            </w:pPr>
            <w:r>
              <w:t>1 (3.1 %)</w:t>
            </w:r>
          </w:p>
        </w:tc>
      </w:tr>
      <w:tr w:rsidR="009008BA" w14:paraId="007BAC55" w14:textId="77777777" w:rsidTr="00F232D8"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4AC8C" w14:textId="77777777" w:rsidR="009008BA" w:rsidRDefault="009008BA" w:rsidP="00F232D8">
            <w:pPr>
              <w:spacing w:line="240" w:lineRule="auto"/>
            </w:pPr>
            <w:r>
              <w:t>Schizophrenia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8C563F" w14:textId="77777777" w:rsidR="009008BA" w:rsidRDefault="009008BA" w:rsidP="00F232D8">
            <w:pPr>
              <w:spacing w:line="240" w:lineRule="auto"/>
              <w:jc w:val="center"/>
            </w:pPr>
            <w:r>
              <w:t>688 (70.9 %)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D56B20" w14:textId="77777777" w:rsidR="009008BA" w:rsidRDefault="009008BA" w:rsidP="00F232D8">
            <w:pPr>
              <w:spacing w:line="240" w:lineRule="auto"/>
              <w:jc w:val="center"/>
            </w:pPr>
            <w:r>
              <w:t>282 (29.1 %)</w:t>
            </w:r>
          </w:p>
        </w:tc>
      </w:tr>
    </w:tbl>
    <w:p w14:paraId="39BB5703" w14:textId="4A342644" w:rsidR="009008BA" w:rsidRDefault="009008BA" w:rsidP="009A23ED">
      <w:pPr>
        <w:pStyle w:val="Heading1"/>
        <w:widowControl w:val="0"/>
        <w:spacing w:line="240" w:lineRule="auto"/>
        <w:jc w:val="left"/>
      </w:pPr>
      <w:bookmarkStart w:id="0" w:name="_lwmu4m52note" w:colFirst="0" w:colLast="0"/>
      <w:bookmarkEnd w:id="0"/>
    </w:p>
    <w:p w14:paraId="751C718B" w14:textId="4DACD9D1" w:rsidR="009008BA" w:rsidRDefault="009008BA" w:rsidP="009008BA">
      <w:pPr>
        <w:spacing w:line="240" w:lineRule="auto"/>
      </w:pPr>
      <w:r>
        <w:rPr>
          <w:b/>
        </w:rPr>
        <w:t>Supplementary Table 2.</w:t>
      </w:r>
      <w:r>
        <w:t xml:space="preserve"> Adherence among different clinical populations.</w:t>
      </w:r>
    </w:p>
    <w:tbl>
      <w:tblPr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3120"/>
      </w:tblGrid>
      <w:tr w:rsidR="009008BA" w14:paraId="7F350A86" w14:textId="77777777" w:rsidTr="00F232D8">
        <w:trPr>
          <w:trHeight w:val="360"/>
        </w:trPr>
        <w:tc>
          <w:tcPr>
            <w:tcW w:w="46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CCAEB" w14:textId="77777777" w:rsidR="009008BA" w:rsidRDefault="009008BA" w:rsidP="00F232D8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Item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418917" w14:textId="77777777" w:rsidR="009008BA" w:rsidRDefault="009008BA" w:rsidP="00F232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Adherence (%)</w:t>
            </w:r>
          </w:p>
        </w:tc>
      </w:tr>
      <w:tr w:rsidR="009008BA" w14:paraId="73833681" w14:textId="77777777" w:rsidTr="00F232D8">
        <w:trPr>
          <w:trHeight w:val="3975"/>
        </w:trPr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E1A859" w14:textId="77777777" w:rsidR="009008BA" w:rsidRDefault="009008BA" w:rsidP="00F232D8">
            <w:pPr>
              <w:spacing w:line="240" w:lineRule="auto"/>
            </w:pPr>
            <w:r>
              <w:t xml:space="preserve">All conditions, mean </w:t>
            </w:r>
            <w:r>
              <w:rPr>
                <w:b/>
              </w:rPr>
              <w:t xml:space="preserve">± </w:t>
            </w:r>
            <w:r>
              <w:t>std</w:t>
            </w:r>
          </w:p>
          <w:p w14:paraId="5C0426F0" w14:textId="77777777" w:rsidR="009008BA" w:rsidRDefault="009008BA" w:rsidP="00F232D8">
            <w:pPr>
              <w:spacing w:line="240" w:lineRule="auto"/>
              <w:ind w:left="720"/>
            </w:pPr>
            <w:r>
              <w:t>Psoriasis</w:t>
            </w:r>
          </w:p>
          <w:p w14:paraId="26569F67" w14:textId="77777777" w:rsidR="009008BA" w:rsidRDefault="009008BA" w:rsidP="00F232D8">
            <w:pPr>
              <w:spacing w:line="240" w:lineRule="auto"/>
              <w:ind w:left="720"/>
            </w:pPr>
            <w:r>
              <w:t>Healthy volunteers</w:t>
            </w:r>
          </w:p>
          <w:p w14:paraId="642E0091" w14:textId="77777777" w:rsidR="009008BA" w:rsidRDefault="009008BA" w:rsidP="00F232D8">
            <w:pPr>
              <w:spacing w:line="240" w:lineRule="auto"/>
              <w:ind w:left="720"/>
            </w:pPr>
            <w:r>
              <w:t>Major depressive disorder</w:t>
            </w:r>
          </w:p>
          <w:p w14:paraId="53D8A5D3" w14:textId="77777777" w:rsidR="009008BA" w:rsidRDefault="009008BA" w:rsidP="00F232D8">
            <w:pPr>
              <w:spacing w:line="240" w:lineRule="auto"/>
              <w:ind w:left="720"/>
            </w:pPr>
            <w:r>
              <w:t>Hepatitis C</w:t>
            </w:r>
          </w:p>
          <w:p w14:paraId="395E5FC0" w14:textId="77777777" w:rsidR="009008BA" w:rsidRDefault="009008BA" w:rsidP="00F232D8">
            <w:pPr>
              <w:spacing w:line="240" w:lineRule="auto"/>
              <w:ind w:left="720"/>
            </w:pPr>
            <w:r>
              <w:t>Post-traumatic stress disorder</w:t>
            </w:r>
          </w:p>
          <w:p w14:paraId="748C2941" w14:textId="77777777" w:rsidR="009008BA" w:rsidRDefault="009008BA" w:rsidP="00F232D8">
            <w:pPr>
              <w:spacing w:line="240" w:lineRule="auto"/>
              <w:ind w:left="720"/>
            </w:pPr>
            <w:r>
              <w:t>Parkinson’s diseases</w:t>
            </w:r>
          </w:p>
          <w:p w14:paraId="4017A105" w14:textId="77777777" w:rsidR="009008BA" w:rsidRDefault="009008BA" w:rsidP="00F232D8">
            <w:pPr>
              <w:spacing w:line="240" w:lineRule="auto"/>
              <w:ind w:left="720"/>
            </w:pPr>
            <w:r>
              <w:t>Epilepsy</w:t>
            </w:r>
          </w:p>
          <w:p w14:paraId="658900C6" w14:textId="77777777" w:rsidR="009008BA" w:rsidRDefault="009008BA" w:rsidP="00F232D8">
            <w:pPr>
              <w:spacing w:line="240" w:lineRule="auto"/>
              <w:ind w:left="720"/>
            </w:pPr>
            <w:r>
              <w:t>Schizophrenia</w:t>
            </w:r>
          </w:p>
          <w:p w14:paraId="53EFA277" w14:textId="77777777" w:rsidR="009008BA" w:rsidRDefault="009008BA" w:rsidP="00F232D8">
            <w:pPr>
              <w:spacing w:line="240" w:lineRule="auto"/>
              <w:ind w:left="720"/>
            </w:pPr>
            <w:r>
              <w:t>Bipolar depression disorder</w:t>
            </w:r>
          </w:p>
          <w:p w14:paraId="2B3896B5" w14:textId="77777777" w:rsidR="009008BA" w:rsidRDefault="009008BA" w:rsidP="00F232D8">
            <w:pPr>
              <w:spacing w:line="240" w:lineRule="auto"/>
              <w:ind w:left="720"/>
            </w:pPr>
            <w:r>
              <w:t>Attention-deficit hyperactive disorder</w:t>
            </w:r>
          </w:p>
          <w:p w14:paraId="34FA71AD" w14:textId="77777777" w:rsidR="009008BA" w:rsidRDefault="009008BA" w:rsidP="00F232D8">
            <w:pPr>
              <w:spacing w:line="240" w:lineRule="auto"/>
              <w:ind w:left="720"/>
            </w:pPr>
            <w:r>
              <w:t xml:space="preserve">Congestive heart failure       </w:t>
            </w:r>
          </w:p>
          <w:p w14:paraId="06E7BE1C" w14:textId="77777777" w:rsidR="009008BA" w:rsidRDefault="009008BA" w:rsidP="00F232D8">
            <w:pPr>
              <w:spacing w:line="240" w:lineRule="auto"/>
              <w:ind w:left="720"/>
            </w:pPr>
            <w:r>
              <w:t>Addiction</w:t>
            </w:r>
          </w:p>
          <w:p w14:paraId="0374FDDC" w14:textId="77777777" w:rsidR="009008BA" w:rsidRDefault="009008BA" w:rsidP="00F232D8">
            <w:pPr>
              <w:spacing w:line="240" w:lineRule="auto"/>
              <w:ind w:left="720"/>
            </w:pPr>
            <w:r>
              <w:t>HIV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3B918D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81.9 </w:t>
            </w:r>
            <w:r>
              <w:rPr>
                <w:b/>
              </w:rPr>
              <w:t xml:space="preserve">± </w:t>
            </w:r>
            <w:r>
              <w:t>22.7</w:t>
            </w:r>
          </w:p>
          <w:p w14:paraId="1A4BA3A5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94.8 </w:t>
            </w:r>
            <w:r>
              <w:rPr>
                <w:b/>
              </w:rPr>
              <w:t xml:space="preserve">± </w:t>
            </w:r>
            <w:r>
              <w:t>10.4</w:t>
            </w:r>
          </w:p>
          <w:p w14:paraId="62D1A71D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92.4 </w:t>
            </w:r>
            <w:r>
              <w:rPr>
                <w:b/>
              </w:rPr>
              <w:t xml:space="preserve">± </w:t>
            </w:r>
            <w:r>
              <w:t>15.7</w:t>
            </w:r>
          </w:p>
          <w:p w14:paraId="2004E9E4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92.0 </w:t>
            </w:r>
            <w:r>
              <w:rPr>
                <w:b/>
              </w:rPr>
              <w:t xml:space="preserve">± </w:t>
            </w:r>
            <w:r>
              <w:t>16.9</w:t>
            </w:r>
          </w:p>
          <w:p w14:paraId="778D87F2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90.5 </w:t>
            </w:r>
            <w:r>
              <w:rPr>
                <w:b/>
              </w:rPr>
              <w:t xml:space="preserve">± </w:t>
            </w:r>
            <w:r>
              <w:t>14.9</w:t>
            </w:r>
          </w:p>
          <w:p w14:paraId="0BA550FE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89.8 </w:t>
            </w:r>
            <w:r>
              <w:rPr>
                <w:b/>
              </w:rPr>
              <w:t xml:space="preserve">± </w:t>
            </w:r>
            <w:r>
              <w:t>16.1</w:t>
            </w:r>
          </w:p>
          <w:p w14:paraId="6020E056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88.3 </w:t>
            </w:r>
            <w:r>
              <w:rPr>
                <w:b/>
              </w:rPr>
              <w:t xml:space="preserve">± </w:t>
            </w:r>
            <w:r>
              <w:t>12.6</w:t>
            </w:r>
          </w:p>
          <w:p w14:paraId="684B28B1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86.1 </w:t>
            </w:r>
            <w:r>
              <w:rPr>
                <w:b/>
              </w:rPr>
              <w:t xml:space="preserve">± </w:t>
            </w:r>
            <w:r>
              <w:t>14.9</w:t>
            </w:r>
          </w:p>
          <w:p w14:paraId="26650C42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82.6 </w:t>
            </w:r>
            <w:r>
              <w:rPr>
                <w:b/>
              </w:rPr>
              <w:t xml:space="preserve">± </w:t>
            </w:r>
            <w:r>
              <w:t>15.3</w:t>
            </w:r>
          </w:p>
          <w:p w14:paraId="0D94006B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80.8 </w:t>
            </w:r>
            <w:r>
              <w:rPr>
                <w:b/>
              </w:rPr>
              <w:t xml:space="preserve">± </w:t>
            </w:r>
            <w:r>
              <w:t>19.3</w:t>
            </w:r>
          </w:p>
          <w:p w14:paraId="01E0C471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77.3 </w:t>
            </w:r>
            <w:r>
              <w:rPr>
                <w:b/>
              </w:rPr>
              <w:t xml:space="preserve">± </w:t>
            </w:r>
            <w:r>
              <w:t>14.8</w:t>
            </w:r>
          </w:p>
          <w:p w14:paraId="26DCE60A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74.7 </w:t>
            </w:r>
            <w:r>
              <w:rPr>
                <w:b/>
              </w:rPr>
              <w:t xml:space="preserve">± </w:t>
            </w:r>
            <w:r>
              <w:t>13.4</w:t>
            </w:r>
          </w:p>
          <w:p w14:paraId="0371CFF3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70.3 </w:t>
            </w:r>
            <w:r>
              <w:rPr>
                <w:b/>
              </w:rPr>
              <w:t xml:space="preserve">± </w:t>
            </w:r>
            <w:r>
              <w:t>12.7</w:t>
            </w:r>
          </w:p>
          <w:p w14:paraId="40435E3E" w14:textId="77777777" w:rsidR="009008BA" w:rsidRDefault="009008BA" w:rsidP="00F232D8">
            <w:pPr>
              <w:spacing w:line="240" w:lineRule="auto"/>
              <w:jc w:val="center"/>
            </w:pPr>
            <w:r>
              <w:t xml:space="preserve">67.9 </w:t>
            </w:r>
            <w:r>
              <w:rPr>
                <w:b/>
              </w:rPr>
              <w:t xml:space="preserve">± </w:t>
            </w:r>
            <w:r>
              <w:t>13.9</w:t>
            </w:r>
          </w:p>
        </w:tc>
      </w:tr>
    </w:tbl>
    <w:p w14:paraId="0BCEE5BB" w14:textId="77777777" w:rsidR="009008BA" w:rsidRDefault="009008BA" w:rsidP="009008BA"/>
    <w:p w14:paraId="1B4FFBF2" w14:textId="77777777" w:rsidR="009008BA" w:rsidRDefault="009008BA" w:rsidP="009008BA"/>
    <w:p w14:paraId="1A5C61EA" w14:textId="77777777" w:rsidR="009A23ED" w:rsidRDefault="009A23ED">
      <w:pPr>
        <w:rPr>
          <w:b/>
        </w:rPr>
      </w:pPr>
      <w:r>
        <w:rPr>
          <w:b/>
        </w:rPr>
        <w:br w:type="page"/>
      </w:r>
    </w:p>
    <w:p w14:paraId="0556E8BC" w14:textId="65251231" w:rsidR="009008BA" w:rsidRDefault="009008BA" w:rsidP="009008BA">
      <w:pPr>
        <w:spacing w:line="240" w:lineRule="auto"/>
      </w:pPr>
      <w:r>
        <w:rPr>
          <w:b/>
        </w:rPr>
        <w:lastRenderedPageBreak/>
        <w:t>Supplementary Table 3.</w:t>
      </w:r>
      <w:r>
        <w:t xml:space="preserve"> Descriptive statistics of predictive features.</w:t>
      </w:r>
    </w:p>
    <w:tbl>
      <w:tblPr>
        <w:tblW w:w="7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3330"/>
      </w:tblGrid>
      <w:tr w:rsidR="009008BA" w14:paraId="3A9DC097" w14:textId="77777777" w:rsidTr="00F232D8">
        <w:trPr>
          <w:trHeight w:val="720"/>
        </w:trPr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B2718" w14:textId="77777777" w:rsidR="009008BA" w:rsidRDefault="009008BA" w:rsidP="00F232D8">
            <w:pP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87C9C3" w14:textId="77777777" w:rsidR="009008BA" w:rsidRDefault="009008BA" w:rsidP="00F232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  <w:p w14:paraId="00543C66" w14:textId="77777777" w:rsidR="009008BA" w:rsidRDefault="009008BA" w:rsidP="00F232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 = 4182</w:t>
            </w:r>
          </w:p>
        </w:tc>
      </w:tr>
      <w:tr w:rsidR="009008BA" w14:paraId="0C9317F0" w14:textId="77777777" w:rsidTr="00F232D8">
        <w:trPr>
          <w:trHeight w:val="465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228CA" w14:textId="77777777" w:rsidR="009008BA" w:rsidRDefault="009008BA" w:rsidP="00F232D8">
            <w:pPr>
              <w:spacing w:line="240" w:lineRule="auto"/>
            </w:pPr>
            <w:r>
              <w:t>Trial length, mean ± std (weeks)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139DA1" w14:textId="77777777" w:rsidR="009008BA" w:rsidRDefault="009008BA" w:rsidP="00F232D8">
            <w:pPr>
              <w:spacing w:line="240" w:lineRule="auto"/>
              <w:jc w:val="center"/>
            </w:pPr>
            <w:r>
              <w:t>10.5 ± 8.9</w:t>
            </w:r>
          </w:p>
        </w:tc>
      </w:tr>
      <w:tr w:rsidR="009008BA" w14:paraId="0A0E882D" w14:textId="77777777" w:rsidTr="00F232D8">
        <w:trPr>
          <w:trHeight w:val="945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9FBC7" w14:textId="77777777" w:rsidR="009008BA" w:rsidRDefault="009008BA" w:rsidP="00F232D8">
            <w:pPr>
              <w:spacing w:line="240" w:lineRule="auto"/>
            </w:pPr>
            <w:r>
              <w:t>Micro reimbursements, n (%)</w:t>
            </w:r>
          </w:p>
          <w:p w14:paraId="540CAD80" w14:textId="77777777" w:rsidR="009008BA" w:rsidRDefault="009008BA" w:rsidP="00F232D8">
            <w:pPr>
              <w:spacing w:line="240" w:lineRule="auto"/>
              <w:ind w:left="720"/>
            </w:pPr>
            <w:r>
              <w:t>No</w:t>
            </w:r>
          </w:p>
          <w:p w14:paraId="0568E7CA" w14:textId="77777777" w:rsidR="009008BA" w:rsidRDefault="009008BA" w:rsidP="00F232D8">
            <w:pPr>
              <w:spacing w:line="240" w:lineRule="auto"/>
              <w:ind w:left="720"/>
            </w:pPr>
            <w:r>
              <w:t>Yes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90E429" w14:textId="77777777" w:rsidR="009008BA" w:rsidRDefault="009008BA" w:rsidP="00F232D8">
            <w:pPr>
              <w:spacing w:line="240" w:lineRule="auto"/>
              <w:jc w:val="center"/>
            </w:pPr>
            <w:r>
              <w:t>2371 (56.7 %)</w:t>
            </w:r>
          </w:p>
          <w:p w14:paraId="658DC013" w14:textId="77777777" w:rsidR="009008BA" w:rsidRDefault="009008BA" w:rsidP="00F232D8">
            <w:pPr>
              <w:spacing w:line="240" w:lineRule="auto"/>
              <w:jc w:val="center"/>
            </w:pPr>
            <w:r>
              <w:t>1811 (43.3 %)</w:t>
            </w:r>
          </w:p>
        </w:tc>
      </w:tr>
      <w:tr w:rsidR="009008BA" w14:paraId="7BF5834D" w14:textId="77777777" w:rsidTr="00F232D8">
        <w:trPr>
          <w:trHeight w:val="435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8ACFB5" w14:textId="77777777" w:rsidR="009008BA" w:rsidRDefault="009008BA" w:rsidP="00F232D8">
            <w:pPr>
              <w:spacing w:line="240" w:lineRule="auto"/>
            </w:pPr>
            <w:r>
              <w:t>Dose length, mean ± std (seconds)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4F36C8" w14:textId="77777777" w:rsidR="009008BA" w:rsidRDefault="009008BA" w:rsidP="00F232D8">
            <w:pPr>
              <w:spacing w:line="240" w:lineRule="auto"/>
              <w:jc w:val="center"/>
            </w:pPr>
            <w:r>
              <w:t>70.5 ± 85.7</w:t>
            </w:r>
          </w:p>
        </w:tc>
      </w:tr>
      <w:tr w:rsidR="009008BA" w14:paraId="6A5E28D8" w14:textId="77777777" w:rsidTr="00F232D8">
        <w:trPr>
          <w:trHeight w:val="435"/>
        </w:trPr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BB095A" w14:textId="77777777" w:rsidR="009008BA" w:rsidRDefault="009008BA" w:rsidP="00F232D8">
            <w:pPr>
              <w:spacing w:line="240" w:lineRule="auto"/>
            </w:pPr>
            <w:r>
              <w:t>Dose delay, mean ± std (hours)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627638" w14:textId="77777777" w:rsidR="009008BA" w:rsidRDefault="009008BA" w:rsidP="00F232D8">
            <w:pPr>
              <w:spacing w:line="240" w:lineRule="auto"/>
              <w:jc w:val="center"/>
            </w:pPr>
            <w:r>
              <w:t>6.6 ± 4.86</w:t>
            </w:r>
          </w:p>
        </w:tc>
      </w:tr>
    </w:tbl>
    <w:p w14:paraId="3951D2E4" w14:textId="77777777" w:rsidR="009008BA" w:rsidRDefault="009008BA" w:rsidP="009008BA"/>
    <w:p w14:paraId="1314484D" w14:textId="77777777" w:rsidR="00827CC1" w:rsidRDefault="00827CC1"/>
    <w:sectPr w:rsidR="0082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8BA"/>
    <w:rsid w:val="004845E4"/>
    <w:rsid w:val="00827CC1"/>
    <w:rsid w:val="008F6C71"/>
    <w:rsid w:val="009008BA"/>
    <w:rsid w:val="009A23ED"/>
    <w:rsid w:val="00D103CE"/>
    <w:rsid w:val="00F6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676E"/>
  <w15:docId w15:val="{A7BBF876-58A7-1F4C-8FA6-377017F7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BA"/>
    <w:pPr>
      <w:keepNext/>
      <w:keepLines/>
      <w:spacing w:after="0"/>
      <w:jc w:val="both"/>
      <w:outlineLvl w:val="0"/>
    </w:pPr>
    <w:rPr>
      <w:rFonts w:ascii="Arial" w:eastAsia="Arial" w:hAnsi="Arial" w:cs="Arial"/>
      <w:b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BA"/>
    <w:rPr>
      <w:rFonts w:ascii="Arial" w:eastAsia="Arial" w:hAnsi="Arial" w:cs="Arial"/>
      <w:b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Edit 6.0</dc:creator>
  <cp:lastModifiedBy>Vidya Koesmahargyo</cp:lastModifiedBy>
  <cp:revision>2</cp:revision>
  <dcterms:created xsi:type="dcterms:W3CDTF">2020-11-04T08:15:00Z</dcterms:created>
  <dcterms:modified xsi:type="dcterms:W3CDTF">2020-11-05T22:41:00Z</dcterms:modified>
</cp:coreProperties>
</file>