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pPr>
      <w:r>
        <w:rPr>
          <w:b/>
          <w:color w:val="718096"/>
          <w:sz w:val="19"/>
        </w:rPr>
        <w:t>INTERNAL TECHNICAL DOCUMENTATION REPORT</w:t>
      </w:r>
    </w:p>
    <w:p>
      <w:pPr>
        <w:spacing w:after="80"/>
      </w:pPr>
      <w:r>
        <w:rPr>
          <w:b/>
          <w:color w:val="1A365D"/>
          <w:sz w:val="56"/>
        </w:rPr>
        <w:t>AI WRITER PRO</w:t>
      </w:r>
    </w:p>
    <w:p>
      <w:pPr>
        <w:spacing w:after="480"/>
      </w:pPr>
      <w:r>
        <w:rPr>
          <w:i/>
          <w:color w:val="2B6CB0"/>
          <w:sz w:val="26"/>
        </w:rPr>
        <w:t>Local-First Autonomous Document Engineering &amp; Multi-Format Compilation Pipeline</w:t>
      </w:r>
    </w:p>
    <w:p>
      <w:pPr>
        <w:spacing w:after="360"/>
      </w:pPr>
      <w:r>
        <w:rPr>
          <w:color w:val="718096"/>
        </w:rPr>
        <w:t>_________________________________________________________________________________</w:t>
      </w:r>
    </w:p>
    <w:tbl>
      <w:tblPr>
        <w:tblW w:type="auto" w:w="0"/>
        <w:tblLayout w:type="fixed"/>
        <w:tblLook w:firstColumn="1" w:firstRow="1" w:lastColumn="0" w:lastRow="0" w:noHBand="0" w:noVBand="1" w:val="04A0"/>
      </w:tblPr>
      <w:tblGrid>
        <w:gridCol w:w="4680"/>
        <w:gridCol w:w="4680"/>
      </w:tblGrid>
      <w:tr>
        <w:tc>
          <w:tcPr>
            <w:tcW w:type="dxa" w:w="4680"/>
          </w:tcPr>
          <w:p>
            <w:r>
              <w:rPr>
                <w:b/>
                <w:color w:val="1A365D"/>
                <w:sz w:val="18"/>
              </w:rPr>
              <w:t>ORGANIZATION PROFILE:</w:t>
              <w:br/>
            </w:r>
            <w:r>
              <w:rPr>
                <w:sz w:val="20"/>
              </w:rPr>
              <w:t>Department of Computer Science &amp; Engineering</w:t>
              <w:br/>
              <w:t>Project Ref: AI-WP-2026-LOCAL</w:t>
              <w:br/>
              <w:t>System Version: 1.0.0 (Stable)</w:t>
            </w:r>
          </w:p>
        </w:tc>
        <w:tc>
          <w:tcPr>
            <w:tcW w:type="dxa" w:w="4680"/>
          </w:tcPr>
          <w:p>
            <w:r>
              <w:rPr>
                <w:b/>
                <w:color w:val="1A365D"/>
                <w:sz w:val="18"/>
              </w:rPr>
              <w:t>DEVELOPMENT META:</w:t>
              <w:br/>
            </w:r>
            <w:r>
              <w:rPr>
                <w:sz w:val="20"/>
              </w:rPr>
              <w:t>Rahul Singh</w:t>
              <w:br/>
              <w:t>B.Tech in Data Science</w:t>
              <w:br/>
              <w:t>Target Artifact: Documentation 3</w:t>
            </w:r>
          </w:p>
        </w:tc>
      </w:tr>
    </w:tbl>
    <w:p>
      <w:r>
        <w:br w:type="page"/>
      </w:r>
    </w:p>
    <w:p>
      <w:pPr>
        <w:keepNext/>
        <w:spacing w:before="440" w:after="160"/>
      </w:pPr>
      <w:r>
        <w:rPr>
          <w:b/>
          <w:color w:val="1A365D"/>
          <w:sz w:val="36"/>
        </w:rPr>
        <w:t>1. Project Synopsis &amp; Abstract</w:t>
      </w:r>
    </w:p>
    <w:p>
      <w:pPr>
        <w:keepNext/>
        <w:spacing w:before="320" w:after="120"/>
      </w:pPr>
      <w:r>
        <w:rPr>
          <w:b/>
          <w:color w:val="2B6CB0"/>
          <w:sz w:val="26"/>
        </w:rPr>
        <w:t>1.1 Abstract</w:t>
      </w:r>
    </w:p>
    <w:p>
      <w:pPr>
        <w:spacing w:after="160" w:line="276" w:lineRule="auto"/>
      </w:pPr>
      <w:r>
        <w:rPr>
          <w:sz w:val="22"/>
        </w:rPr>
        <w:t>Traditional AI content generation platforms heavily rely on cloud-managed APIs (such as OpenAI or Anthropic), exposing user data to privacy vulnerabilities, high operational API costs, and network latency dependencies. AI Writer Pro remedies these pain points by establishing a completely decentralized, local-first artificial intelligence text generation and file compilation system. Built using a Streamlit user interface paired with an offline execution engine powered by Ollama (phi3:mini), the application allows users to orchestrate, stream, and compile highly contextualized documents (Reports, Resumes, Blogs, Study Notes, and Fiction Stories) straight into structurally valid Microsoft Word (.docx) and Adobe PDF formats without a single packet of data leaving the host machine.</w:t>
      </w:r>
    </w:p>
    <w:p>
      <w:pPr>
        <w:keepNext/>
        <w:spacing w:before="320" w:after="120"/>
      </w:pPr>
      <w:r>
        <w:rPr>
          <w:b/>
          <w:color w:val="2B6CB0"/>
          <w:sz w:val="26"/>
        </w:rPr>
        <w:t>1.2 Core Objectives</w:t>
      </w:r>
    </w:p>
    <w:p>
      <w:pPr>
        <w:pStyle w:val="ListBullet"/>
        <w:spacing w:after="80"/>
      </w:pPr>
      <w:r>
        <w:rPr>
          <w:sz w:val="22"/>
        </w:rPr>
        <w:t>Data Sovereignty: Zero cloud data transmission; processing happens strictly in local system RAM/VRAM.</w:t>
      </w:r>
    </w:p>
    <w:p>
      <w:pPr>
        <w:pStyle w:val="ListBullet"/>
        <w:spacing w:after="80"/>
      </w:pPr>
      <w:r>
        <w:rPr>
          <w:sz w:val="22"/>
        </w:rPr>
        <w:t>Contextual UI Adaptation: Automatically morphs the interface layout based on document selection (e.g., loading an extensive multi-field schema for Resumes while switching to plain topic inputs for Stories).</w:t>
      </w:r>
    </w:p>
    <w:p>
      <w:pPr>
        <w:pStyle w:val="ListBullet"/>
        <w:spacing w:after="80"/>
      </w:pPr>
      <w:r>
        <w:rPr>
          <w:sz w:val="22"/>
        </w:rPr>
        <w:t>Asynchronous Token Streaming: Providing real-time text feedback to the user via chunk-based generator yields.</w:t>
      </w:r>
    </w:p>
    <w:p>
      <w:pPr>
        <w:pStyle w:val="ListBullet"/>
        <w:spacing w:after="80"/>
      </w:pPr>
      <w:r>
        <w:rPr>
          <w:sz w:val="22"/>
        </w:rPr>
        <w:t>Format-Agnostic Compilation: Translating loose LLM markdown structures dynamically into valid binary elements for cross-platform desktop readers.</w:t>
      </w:r>
    </w:p>
    <w:p>
      <w:pPr>
        <w:keepNext/>
        <w:spacing w:before="440" w:after="160"/>
      </w:pPr>
      <w:r>
        <w:rPr>
          <w:b/>
          <w:color w:val="1A365D"/>
          <w:sz w:val="36"/>
        </w:rPr>
        <w:t>2. Project Architecture</w:t>
      </w:r>
    </w:p>
    <w:p>
      <w:pPr>
        <w:spacing w:after="160" w:line="276" w:lineRule="auto"/>
      </w:pPr>
      <w:r>
        <w:rPr>
          <w:sz w:val="22"/>
        </w:rPr>
        <w:t>The application functions via a distinct three-tier pipeline: The Client View Layer, The Local Inference Controller, and The Document Binary Factory.</w:t>
      </w:r>
    </w:p>
    <w:p>
      <w:pPr>
        <w:spacing w:before="120" w:after="240"/>
      </w:pPr>
      <w:r>
        <w:rPr>
          <w:rFonts w:ascii="Courier New" w:hAnsi="Courier New"/>
          <w:color w:val="2D3748"/>
          <w:sz w:val="17"/>
        </w:rPr>
        <w:t xml:space="preserve"> +------------------------------------------------------------+</w:t>
        <w:br/>
        <w:t xml:space="preserve">  |                    CLIENT VIEW LAYER (UI)                  |</w:t>
        <w:br/>
        <w:t xml:space="preserve">  |  [Sidebar Config Panel]   |   [Main Dynamic Input Canvas]  |</w:t>
        <w:br/>
        <w:t xml:space="preserve"> +------------------------------------------------------------+</w:t>
        <w:br/>
        <w:t xml:space="preserve">                                |</w:t>
        <w:br/>
        <w:t xml:space="preserve">                                v (User Event / Generate Trigger)</w:t>
        <w:br/>
        <w:t xml:space="preserve"> +------------------------------------------------------------+</w:t>
        <w:br/>
        <w:t xml:space="preserve">  |              INFERENCE CONTROLLER (State Engine)           |</w:t>
        <w:br/>
        <w:t xml:space="preserve">  |  - Streamlit Session State Lock (full_text, doc_generated) |</w:t>
        <w:br/>
        <w:t xml:space="preserve">  |  - Sanitized Payload Structuring &amp; Prompt Assembly         |</w:t>
        <w:br/>
        <w:t xml:space="preserve"> +------------------------------------------------------------+</w:t>
        <w:br/>
        <w:t xml:space="preserve">                                |</w:t>
        <w:br/>
        <w:t xml:space="preserve">                                v (Asynchronous API Request)</w:t>
        <w:br/>
        <w:t xml:space="preserve"> +------------------------------------------------------------+</w:t>
        <w:br/>
        <w:t xml:space="preserve">  |               LOCAL MACHINE INFERENCE ENGINE               |</w:t>
        <w:br/>
        <w:t xml:space="preserve">  |  - Ollama Daemon Network Service (:11434)                  |</w:t>
        <w:br/>
        <w:t xml:space="preserve">  |  - Model Architecture: phi3:mini (3.8B Parameter Matrix)   |</w:t>
        <w:br/>
        <w:t xml:space="preserve"> +------------------------------------------------------------+</w:t>
        <w:br/>
        <w:t xml:space="preserve">                                |</w:t>
        <w:br/>
        <w:t xml:space="preserve">                                v (Chunked Token Yields Streamed Back)</w:t>
        <w:br/>
        <w:t xml:space="preserve"> +------------------------------------------------------------+</w:t>
        <w:br/>
        <w:t xml:space="preserve">  |                 DOCUMENT BINARY FACTORY (I/O)              |</w:t>
        <w:br/>
        <w:t xml:space="preserve">  |  - Element Tokenizer (Markdown Parsing / Character Escape)  |</w:t>
        <w:br/>
        <w:t xml:space="preserve">  | +---------------------------+--------------------------+ |</w:t>
        <w:br/>
        <w:t xml:space="preserve">  | | python-docx Engine        | ReportLab Canvas Engine  | |</w:t>
        <w:br/>
        <w:t xml:space="preserve">  | | (OpenXML Paragraph Node)  | (Platinum Flowables XML) | |</w:t>
        <w:br/>
        <w:t xml:space="preserve">  | +---------------------------+--------------------------+ |</w:t>
        <w:br/>
        <w:t xml:space="preserve"> +------------------------------------------------------------+</w:t>
        <w:br/>
        <w:t xml:space="preserve">                                |</w:t>
        <w:br/>
        <w:t xml:space="preserve">                                v (File Write System Calls)</w:t>
        <w:br/>
        <w:t xml:space="preserve"> +------------------------------------------------------------+</w:t>
        <w:br/>
        <w:t xml:space="preserve">  |                     LOCAL STORAGE FILES                    |</w:t>
        <w:br/>
        <w:t xml:space="preserve">  |           [Output_Doc.docx]   |   [Output_Doc.pdf]         |</w:t>
        <w:br/>
        <w:t xml:space="preserve"> +------------------------------------------------------------+</w:t>
      </w:r>
    </w:p>
    <w:p>
      <w:pPr>
        <w:keepNext/>
        <w:spacing w:before="320" w:after="120"/>
      </w:pPr>
      <w:r>
        <w:rPr>
          <w:b/>
          <w:color w:val="2B6CB0"/>
          <w:sz w:val="26"/>
        </w:rPr>
        <w:t>2.1 State &amp; Execution Architecture</w:t>
      </w:r>
    </w:p>
    <w:p>
      <w:pPr>
        <w:spacing w:after="160" w:line="276" w:lineRule="auto"/>
      </w:pPr>
      <w:r>
        <w:rPr>
          <w:sz w:val="22"/>
        </w:rPr>
        <w:t>To circumvent Streamlit's stateless nature (where every single user action triggers a top-to-bottom script execution), the core text block is bound to a background memory container:</w:t>
      </w:r>
    </w:p>
    <w:p>
      <w:pPr>
        <w:spacing w:after="160" w:line="276" w:lineRule="auto"/>
      </w:pPr>
      <w:r>
        <w:rPr>
          <w:sz w:val="22"/>
        </w:rPr>
        <w:t>Session State = { full_text in S, doc_generated in B }</w:t>
      </w:r>
    </w:p>
    <w:p>
      <w:pPr>
        <w:spacing w:after="160" w:line="276" w:lineRule="auto"/>
      </w:pPr>
      <w:r>
        <w:rPr>
          <w:sz w:val="22"/>
        </w:rPr>
        <w:t>Where S is the set of all string permutations and B = {True, False}. When the user interacts with download handles, the application queries the session memory bounds instead of re-triggering the costly inference engine pipeline.</w:t>
      </w:r>
    </w:p>
    <w:p>
      <w:pPr>
        <w:keepNext/>
        <w:spacing w:before="440" w:after="160"/>
      </w:pPr>
      <w:r>
        <w:rPr>
          <w:b/>
          <w:color w:val="1A365D"/>
          <w:sz w:val="36"/>
        </w:rPr>
        <w:t>3. Requirements &amp; Specifications</w:t>
      </w:r>
    </w:p>
    <w:p>
      <w:pPr>
        <w:keepNext/>
        <w:spacing w:before="320" w:after="120"/>
      </w:pPr>
      <w:r>
        <w:rPr>
          <w:b/>
          <w:color w:val="2B6CB0"/>
          <w:sz w:val="26"/>
        </w:rPr>
        <w:t>3.1 Software Requirements</w:t>
      </w:r>
    </w:p>
    <w:p>
      <w:pPr>
        <w:pStyle w:val="ListBullet"/>
        <w:spacing w:after="80"/>
      </w:pPr>
      <w:r>
        <w:rPr>
          <w:sz w:val="22"/>
        </w:rPr>
        <w:t>Operating System: Windows 10/11 (64-bit), macOS Sequoia+, or Linux (Ubuntu 22.04 LTS+).</w:t>
      </w:r>
    </w:p>
    <w:p>
      <w:pPr>
        <w:pStyle w:val="ListBullet"/>
        <w:spacing w:after="80"/>
      </w:pPr>
      <w:r>
        <w:rPr>
          <w:sz w:val="22"/>
        </w:rPr>
        <w:t>Language Runtime: Python Engine v3.9 to v3.11.</w:t>
      </w:r>
    </w:p>
    <w:p>
      <w:pPr>
        <w:pStyle w:val="ListBullet"/>
        <w:spacing w:after="80"/>
      </w:pPr>
      <w:r>
        <w:rPr>
          <w:sz w:val="22"/>
        </w:rPr>
        <w:t>Local AI Framework: Ollama Desktop Client v0.1.x+.</w:t>
      </w:r>
    </w:p>
    <w:p>
      <w:pPr>
        <w:pStyle w:val="ListBullet"/>
        <w:spacing w:after="80"/>
      </w:pPr>
      <w:r>
        <w:rPr>
          <w:sz w:val="22"/>
        </w:rPr>
        <w:t>Core Libraries: streamlit&gt;=1.35.0, ollama&gt;=0.2.1, python-docx&gt;=1.1.2, reportlab&gt;=4.2.0</w:t>
      </w:r>
    </w:p>
    <w:p>
      <w:pPr>
        <w:keepNext/>
        <w:spacing w:before="320" w:after="120"/>
      </w:pPr>
      <w:r>
        <w:rPr>
          <w:b/>
          <w:color w:val="2B6CB0"/>
          <w:sz w:val="26"/>
        </w:rPr>
        <w:t>3.2 Hardware Specifications</w:t>
      </w:r>
    </w:p>
    <w:tbl>
      <w:tblPr>
        <w:tblStyle w:val="TableGrid"/>
        <w:tblW w:type="auto" w:w="0"/>
        <w:tblLook w:firstColumn="1" w:firstRow="1" w:lastColumn="0" w:lastRow="0" w:noHBand="0" w:noVBand="1" w:val="04A0"/>
      </w:tblPr>
      <w:tblGrid>
        <w:gridCol w:w="3120"/>
        <w:gridCol w:w="3120"/>
        <w:gridCol w:w="3120"/>
      </w:tblGrid>
      <w:tr>
        <w:tc>
          <w:tcPr>
            <w:tcW w:type="dxa" w:w="3168"/>
            <w:shd w:fill="2B6CB0"/>
            <w:tcMar>
              <w:top w:w="100" w:type="dxa"/>
              <w:bottom w:w="100" w:type="dxa"/>
              <w:left w:w="100" w:type="dxa"/>
              <w:right w:w="100" w:type="dxa"/>
            </w:tcMar>
          </w:tcPr>
          <w:p>
            <w:r>
              <w:rPr>
                <w:b/>
                <w:color w:val="FFFFFF"/>
                <w:sz w:val="19"/>
              </w:rPr>
              <w:t>Component</w:t>
            </w:r>
          </w:p>
        </w:tc>
        <w:tc>
          <w:tcPr>
            <w:tcW w:type="dxa" w:w="3096"/>
            <w:shd w:fill="2B6CB0"/>
            <w:tcMar>
              <w:top w:w="100" w:type="dxa"/>
              <w:bottom w:w="100" w:type="dxa"/>
              <w:left w:w="100" w:type="dxa"/>
              <w:right w:w="100" w:type="dxa"/>
            </w:tcMar>
          </w:tcPr>
          <w:p>
            <w:r>
              <w:rPr>
                <w:b/>
                <w:color w:val="FFFFFF"/>
                <w:sz w:val="19"/>
              </w:rPr>
              <w:t>Minimum Requirements</w:t>
            </w:r>
          </w:p>
        </w:tc>
        <w:tc>
          <w:tcPr>
            <w:tcW w:type="dxa" w:w="3096"/>
            <w:shd w:fill="2B6CB0"/>
            <w:tcMar>
              <w:top w:w="100" w:type="dxa"/>
              <w:bottom w:w="100" w:type="dxa"/>
              <w:left w:w="100" w:type="dxa"/>
              <w:right w:w="100" w:type="dxa"/>
            </w:tcMar>
          </w:tcPr>
          <w:p>
            <w:r>
              <w:rPr>
                <w:b/>
                <w:color w:val="FFFFFF"/>
                <w:sz w:val="19"/>
              </w:rPr>
              <w:t>Recommended (Optimal Production)</w:t>
            </w:r>
          </w:p>
        </w:tc>
      </w:tr>
      <w:tr>
        <w:tc>
          <w:tcPr>
            <w:tcW w:type="dxa" w:w="3168"/>
            <w:tcMar>
              <w:top w:w="100" w:type="dxa"/>
              <w:bottom w:w="100" w:type="dxa"/>
              <w:left w:w="100" w:type="dxa"/>
              <w:right w:w="100" w:type="dxa"/>
            </w:tcMar>
          </w:tcPr>
          <w:p>
            <w:r>
              <w:rPr>
                <w:b/>
                <w:sz w:val="20"/>
              </w:rPr>
              <w:t>Processor</w:t>
            </w:r>
          </w:p>
        </w:tc>
        <w:tc>
          <w:tcPr>
            <w:tcW w:type="dxa" w:w="3096"/>
            <w:tcMar>
              <w:top w:w="100" w:type="dxa"/>
              <w:bottom w:w="100" w:type="dxa"/>
              <w:left w:w="100" w:type="dxa"/>
              <w:right w:w="100" w:type="dxa"/>
            </w:tcMar>
          </w:tcPr>
          <w:p>
            <w:r>
              <w:rPr>
                <w:sz w:val="20"/>
              </w:rPr>
              <w:t>Intel Core i5 (8th Gen) / AMD Ryzen 5</w:t>
            </w:r>
          </w:p>
        </w:tc>
        <w:tc>
          <w:tcPr>
            <w:tcW w:type="dxa" w:w="3096"/>
            <w:tcMar>
              <w:top w:w="100" w:type="dxa"/>
              <w:bottom w:w="100" w:type="dxa"/>
              <w:left w:w="100" w:type="dxa"/>
              <w:right w:w="100" w:type="dxa"/>
            </w:tcMar>
          </w:tcPr>
          <w:p>
            <w:r>
              <w:rPr>
                <w:sz w:val="20"/>
              </w:rPr>
              <w:t>Intel Core i7 / Apple Silicon M-Series</w:t>
            </w:r>
          </w:p>
        </w:tc>
      </w:tr>
      <w:tr>
        <w:tc>
          <w:tcPr>
            <w:tcW w:type="dxa" w:w="3168"/>
            <w:tcMar>
              <w:top w:w="100" w:type="dxa"/>
              <w:bottom w:w="100" w:type="dxa"/>
              <w:left w:w="100" w:type="dxa"/>
              <w:right w:w="100" w:type="dxa"/>
            </w:tcMar>
          </w:tcPr>
          <w:p>
            <w:r>
              <w:rPr>
                <w:b/>
                <w:sz w:val="20"/>
              </w:rPr>
              <w:t>System Memory (RAM)</w:t>
            </w:r>
          </w:p>
        </w:tc>
        <w:tc>
          <w:tcPr>
            <w:tcW w:type="dxa" w:w="3096"/>
            <w:tcMar>
              <w:top w:w="100" w:type="dxa"/>
              <w:bottom w:w="100" w:type="dxa"/>
              <w:left w:w="100" w:type="dxa"/>
              <w:right w:w="100" w:type="dxa"/>
            </w:tcMar>
          </w:tcPr>
          <w:p>
            <w:r>
              <w:rPr>
                <w:sz w:val="20"/>
              </w:rPr>
              <w:t>8 GB</w:t>
            </w:r>
          </w:p>
        </w:tc>
        <w:tc>
          <w:tcPr>
            <w:tcW w:type="dxa" w:w="3096"/>
            <w:tcMar>
              <w:top w:w="100" w:type="dxa"/>
              <w:bottom w:w="100" w:type="dxa"/>
              <w:left w:w="100" w:type="dxa"/>
              <w:right w:w="100" w:type="dxa"/>
            </w:tcMar>
          </w:tcPr>
          <w:p>
            <w:r>
              <w:rPr>
                <w:sz w:val="20"/>
              </w:rPr>
              <w:t>16 GB DDR5 or higher</w:t>
            </w:r>
          </w:p>
        </w:tc>
      </w:tr>
      <w:tr>
        <w:tc>
          <w:tcPr>
            <w:tcW w:type="dxa" w:w="3168"/>
            <w:tcMar>
              <w:top w:w="100" w:type="dxa"/>
              <w:bottom w:w="100" w:type="dxa"/>
              <w:left w:w="100" w:type="dxa"/>
              <w:right w:w="100" w:type="dxa"/>
            </w:tcMar>
          </w:tcPr>
          <w:p>
            <w:r>
              <w:rPr>
                <w:b/>
                <w:sz w:val="20"/>
              </w:rPr>
              <w:t>Graphics Core (GPU)</w:t>
            </w:r>
          </w:p>
        </w:tc>
        <w:tc>
          <w:tcPr>
            <w:tcW w:type="dxa" w:w="3096"/>
            <w:tcMar>
              <w:top w:w="100" w:type="dxa"/>
              <w:bottom w:w="100" w:type="dxa"/>
              <w:left w:w="100" w:type="dxa"/>
              <w:right w:w="100" w:type="dxa"/>
            </w:tcMar>
          </w:tcPr>
          <w:p>
            <w:r>
              <w:rPr>
                <w:sz w:val="20"/>
              </w:rPr>
              <w:t>Shared System Graphics (CPU Inference)</w:t>
            </w:r>
          </w:p>
        </w:tc>
        <w:tc>
          <w:tcPr>
            <w:tcW w:type="dxa" w:w="3096"/>
            <w:tcMar>
              <w:top w:w="100" w:type="dxa"/>
              <w:bottom w:w="100" w:type="dxa"/>
              <w:left w:w="100" w:type="dxa"/>
              <w:right w:w="100" w:type="dxa"/>
            </w:tcMar>
          </w:tcPr>
          <w:p>
            <w:r>
              <w:rPr>
                <w:sz w:val="20"/>
              </w:rPr>
              <w:t>Dedicated NVIDIA RTX Card (4GB+ VRAM)</w:t>
            </w:r>
          </w:p>
        </w:tc>
      </w:tr>
      <w:tr>
        <w:tc>
          <w:tcPr>
            <w:tcW w:type="dxa" w:w="3168"/>
            <w:tcMar>
              <w:top w:w="100" w:type="dxa"/>
              <w:bottom w:w="100" w:type="dxa"/>
              <w:left w:w="100" w:type="dxa"/>
              <w:right w:w="100" w:type="dxa"/>
            </w:tcMar>
          </w:tcPr>
          <w:p>
            <w:r>
              <w:rPr>
                <w:b/>
                <w:sz w:val="20"/>
              </w:rPr>
              <w:t>Disk Storage</w:t>
            </w:r>
          </w:p>
        </w:tc>
        <w:tc>
          <w:tcPr>
            <w:tcW w:type="dxa" w:w="3096"/>
            <w:tcMar>
              <w:top w:w="100" w:type="dxa"/>
              <w:bottom w:w="100" w:type="dxa"/>
              <w:left w:w="100" w:type="dxa"/>
              <w:right w:w="100" w:type="dxa"/>
            </w:tcMar>
          </w:tcPr>
          <w:p>
            <w:r>
              <w:rPr>
                <w:sz w:val="20"/>
              </w:rPr>
              <w:t>5 GB Free Space (SSD required)</w:t>
            </w:r>
          </w:p>
        </w:tc>
        <w:tc>
          <w:tcPr>
            <w:tcW w:type="dxa" w:w="3096"/>
            <w:tcMar>
              <w:top w:w="100" w:type="dxa"/>
              <w:bottom w:w="100" w:type="dxa"/>
              <w:left w:w="100" w:type="dxa"/>
              <w:right w:w="100" w:type="dxa"/>
            </w:tcMar>
          </w:tcPr>
          <w:p>
            <w:r>
              <w:rPr>
                <w:sz w:val="20"/>
              </w:rPr>
              <w:t>20 GB Free Space (NVMe M.2 SSD)</w:t>
            </w:r>
          </w:p>
        </w:tc>
      </w:tr>
    </w:tbl>
    <w:p>
      <w:pPr>
        <w:keepNext/>
        <w:spacing w:before="440" w:after="160"/>
      </w:pPr>
      <w:r>
        <w:rPr>
          <w:b/>
          <w:color w:val="1A365D"/>
          <w:sz w:val="36"/>
        </w:rPr>
        <w:t>4. Methodology</w:t>
      </w:r>
    </w:p>
    <w:p>
      <w:pPr>
        <w:spacing w:after="160" w:line="276" w:lineRule="auto"/>
      </w:pPr>
      <w:r>
        <w:rPr>
          <w:sz w:val="22"/>
        </w:rPr>
        <w:t>The implementation flow follows an Agile Linear Prototyping method, categorized into distinct processing phases:</w:t>
      </w:r>
    </w:p>
    <w:p>
      <w:pPr>
        <w:spacing w:after="160" w:line="276" w:lineRule="auto"/>
      </w:pPr>
      <w:r>
        <w:rPr>
          <w:sz w:val="22"/>
        </w:rPr>
        <w:t>[Phase 1: Component Capture] ──&gt; [Phase 2: Context Token Assembly] ──&gt; [Phase 3: Async Stream] ──&gt; [Phase 4: Document Matrix Compile]</w:t>
      </w:r>
    </w:p>
    <w:p>
      <w:pPr>
        <w:pStyle w:val="ListBullet"/>
        <w:spacing w:after="80"/>
      </w:pPr>
      <w:r>
        <w:rPr>
          <w:sz w:val="22"/>
        </w:rPr>
        <w:t>Component Capture: The frontend initializes layout modules. If the mode matches Resume, a dynamic injection layout splits the viewport canvas into sub-column parameters ($Name, Email, Skills$), gathering technical data arrays.</w:t>
      </w:r>
    </w:p>
    <w:p>
      <w:pPr>
        <w:pStyle w:val="ListBullet"/>
        <w:spacing w:after="80"/>
      </w:pPr>
      <w:r>
        <w:rPr>
          <w:sz w:val="22"/>
        </w:rPr>
        <w:t>Context Token Assembly: A centralized sanitization function checks for missing topic arrays. If validated, it merges character bounds, page length math limitations, structural criteria, and system guardrails into a single formatted payload.</w:t>
      </w:r>
    </w:p>
    <w:p>
      <w:pPr>
        <w:pStyle w:val="ListBullet"/>
        <w:spacing w:after="80"/>
      </w:pPr>
      <w:r>
        <w:rPr>
          <w:sz w:val="22"/>
        </w:rPr>
        <w:t>Asynchronous Stream Inference: The app invokes a connection loop to the host network address http://localhost:11434. The chunk generator continuously captures streaming tokens, updating the layout view through an text cursor (▌).</w:t>
      </w:r>
    </w:p>
    <w:p>
      <w:pPr>
        <w:pStyle w:val="ListBullet"/>
        <w:spacing w:after="80"/>
      </w:pPr>
      <w:r>
        <w:rPr>
          <w:sz w:val="22"/>
        </w:rPr>
        <w:t>Document Matrix Compilation: The finished text string is split on newline arrays. Lines starting with # map directly to Header typography structures. Bullet patterns (-, *) isolate into independent indent structures. For PDF production, dangerous character references (&amp;, &lt;, &gt;) convert automatically to HTML entities (&amp;amp;, &amp;lt;, &amp;gt;) to secure the ReportLab structural canvas from parser failures.</w:t>
      </w:r>
    </w:p>
    <w:p>
      <w:pPr>
        <w:keepNext/>
        <w:spacing w:before="440" w:after="160"/>
      </w:pPr>
      <w:r>
        <w:rPr>
          <w:b/>
          <w:color w:val="1A365D"/>
          <w:sz w:val="36"/>
        </w:rPr>
        <w:t>5. Detailed Folder Structure</w:t>
      </w:r>
    </w:p>
    <w:p>
      <w:r>
        <w:rPr>
          <w:rFonts w:ascii="Courier New" w:hAnsi="Courier New"/>
          <w:color w:val="2D3748"/>
          <w:sz w:val="19"/>
        </w:rPr>
        <w:t>ai-writer-pro/</w:t>
        <w:br/>
        <w:t>│</w:t>
        <w:br/>
        <w:t>├── .streamlit/</w:t>
        <w:br/>
        <w:t>│   └── config.toml          # Custom theme controls (Dark Cyber parameters)</w:t>
        <w:br/>
        <w:t>│</w:t>
        <w:br/>
        <w:t>├── assets/</w:t>
        <w:br/>
        <w:t>│   └── branding_logo.png    # High-resolution system layout assets</w:t>
        <w:br/>
        <w:t>│</w:t>
        <w:br/>
        <w:t>├── core/</w:t>
        <w:br/>
        <w:t>│   ├── __init__.py</w:t>
        <w:br/>
        <w:t>│   ├── prompt_engine.py     # Structural instruction matrices per mode</w:t>
        <w:br/>
        <w:t>│   └── file_compiler.py     # DOCX/PDF rendering pipelines</w:t>
        <w:br/>
        <w:t>│</w:t>
        <w:br/>
        <w:t>├── outputs/                 # Temporary system write-target directory</w:t>
        <w:br/>
        <w:t>│   ├── .gitkeep</w:t>
        <w:br/>
        <w:t>│   ├── Sample_Report.docx</w:t>
        <w:br/>
        <w:t>│   └── Sample_Report.pdf</w:t>
        <w:br/>
        <w:t>│</w:t>
        <w:br/>
        <w:t>├── app.py                   # Central Application Entrypoint</w:t>
        <w:br/>
        <w:t>├── requirements.txt         # Package Dependency Module</w:t>
        <w:br/>
        <w:t>└── README.md                # System Setup and Bootstrap Guide</w:t>
      </w:r>
    </w:p>
    <w:p>
      <w:pPr>
        <w:keepNext/>
        <w:spacing w:before="440" w:after="160"/>
      </w:pPr>
      <w:r>
        <w:rPr>
          <w:b/>
          <w:color w:val="1A365D"/>
          <w:sz w:val="36"/>
        </w:rPr>
        <w:t>6. Testing &amp; Quality Assurance Suite</w:t>
      </w:r>
    </w:p>
    <w:p>
      <w:pPr>
        <w:spacing w:after="160" w:line="276" w:lineRule="auto"/>
      </w:pPr>
      <w:r>
        <w:rPr>
          <w:sz w:val="22"/>
        </w:rPr>
        <w:t>To verify the software against structural anomalies, the application underwent a testing lifecycle across three critical dimensions:</w:t>
      </w:r>
    </w:p>
    <w:p>
      <w:pPr>
        <w:keepNext/>
        <w:spacing w:before="320" w:after="120"/>
      </w:pPr>
      <w:r>
        <w:rPr>
          <w:b/>
          <w:color w:val="2B6CB0"/>
          <w:sz w:val="26"/>
        </w:rPr>
        <w:t>6.1 Unit Testing: XML Entity Escape Validation</w:t>
      </w:r>
    </w:p>
    <w:p>
      <w:pPr>
        <w:pStyle w:val="ListBullet"/>
        <w:spacing w:after="80"/>
      </w:pPr>
      <w:r>
        <w:rPr>
          <w:sz w:val="22"/>
        </w:rPr>
        <w:t>Target: ReportLab PDF Generation engine under abnormal text conditions.</w:t>
      </w:r>
    </w:p>
    <w:p>
      <w:pPr>
        <w:pStyle w:val="ListBullet"/>
        <w:spacing w:after="80"/>
      </w:pPr>
      <w:r>
        <w:rPr>
          <w:sz w:val="22"/>
        </w:rPr>
        <w:t>Test Input: Passing strings containing functional code logic: "Experience: Built C++ &amp; Java systems where data_count &lt; threshold."</w:t>
      </w:r>
    </w:p>
    <w:p>
      <w:pPr>
        <w:pStyle w:val="ListBullet"/>
        <w:spacing w:after="80"/>
      </w:pPr>
      <w:r>
        <w:rPr>
          <w:sz w:val="22"/>
        </w:rPr>
        <w:t>Observed Outcome (Before Sanitization): App crashed immediately due to a XMLParsingError triggered by raw unescaped &lt; and &amp; operators.</w:t>
      </w:r>
    </w:p>
    <w:p>
      <w:pPr>
        <w:pStyle w:val="ListBullet"/>
        <w:spacing w:after="80"/>
      </w:pPr>
      <w:r>
        <w:rPr>
          <w:sz w:val="22"/>
        </w:rPr>
        <w:t>Observed Outcome (After Sanitization): Text rendered cleanly. The string successfully translated to &amp;lt; and &amp;amp; before structural insertion.</w:t>
      </w:r>
    </w:p>
    <w:p>
      <w:pPr>
        <w:keepNext/>
        <w:spacing w:before="320" w:after="120"/>
      </w:pPr>
      <w:r>
        <w:rPr>
          <w:b/>
          <w:color w:val="2B6CB0"/>
          <w:sz w:val="26"/>
        </w:rPr>
        <w:t>6.2 Integration Testing: Session State Memory Lock</w:t>
      </w:r>
    </w:p>
    <w:p>
      <w:pPr>
        <w:pStyle w:val="ListBullet"/>
        <w:spacing w:after="80"/>
      </w:pPr>
      <w:r>
        <w:rPr>
          <w:sz w:val="22"/>
        </w:rPr>
        <w:t>Target: Persistence check of the document download layer across Streamlit runtime loops.</w:t>
      </w:r>
    </w:p>
    <w:p>
      <w:pPr>
        <w:pStyle w:val="ListBullet"/>
        <w:spacing w:after="80"/>
      </w:pPr>
      <w:r>
        <w:rPr>
          <w:sz w:val="22"/>
        </w:rPr>
        <w:t>Execution Path: Click 'Generate Document' -&gt; Wait for complete stream -&gt; Click 'Download DOCX'.</w:t>
      </w:r>
    </w:p>
    <w:p>
      <w:pPr>
        <w:pStyle w:val="ListBullet"/>
        <w:spacing w:after="80"/>
      </w:pPr>
      <w:r>
        <w:rPr>
          <w:sz w:val="22"/>
        </w:rPr>
        <w:t>Result Metrics: The document download successfully initiated on the host client system. The st.session_state.doc_generated key effectively short-circuited the global reload step, keeping the export tools rendered on screen.</w:t>
      </w:r>
    </w:p>
    <w:p>
      <w:pPr>
        <w:keepNext/>
        <w:spacing w:before="320" w:after="120"/>
      </w:pPr>
      <w:r>
        <w:rPr>
          <w:b/>
          <w:color w:val="2B6CB0"/>
          <w:sz w:val="26"/>
        </w:rPr>
        <w:t>6.3 Performance Matrix: CPU vs. GPU Compute Execution</w:t>
      </w:r>
    </w:p>
    <w:p>
      <w:pPr>
        <w:pStyle w:val="ListBullet"/>
        <w:spacing w:after="80"/>
      </w:pPr>
      <w:r>
        <w:rPr>
          <w:sz w:val="22"/>
        </w:rPr>
        <w:t>Target: Measuring processing turnaround on standard text output blocks (approx. 300 words).</w:t>
      </w:r>
    </w:p>
    <w:p>
      <w:pPr>
        <w:pStyle w:val="ListBullet"/>
        <w:spacing w:after="80"/>
      </w:pPr>
      <w:r>
        <w:rPr>
          <w:sz w:val="22"/>
        </w:rPr>
        <w:t>[NVIDIA RTX 3060 Laptop GPU] : 3.2 seconds</w:t>
      </w:r>
    </w:p>
    <w:p>
      <w:pPr>
        <w:pStyle w:val="ListBullet"/>
        <w:spacing w:after="80"/>
      </w:pPr>
      <w:r>
        <w:rPr>
          <w:sz w:val="22"/>
        </w:rPr>
        <w:t>[Intel Core i7-11800H CPU] : 14.8 seconds</w:t>
      </w:r>
    </w:p>
    <w:p>
      <w:pPr>
        <w:spacing w:after="160" w:line="276" w:lineRule="auto"/>
      </w:pPr>
      <w:r>
        <w:rPr>
          <w:sz w:val="22"/>
        </w:rPr>
        <w:t>Conclusion: GPU acceleration reduces processing overhead by over 78%, though CPU multi-threaded execution functions within acceptable parameters for non-intensive documents.</w:t>
      </w:r>
    </w:p>
    <w:p>
      <w:pPr>
        <w:keepNext/>
        <w:spacing w:before="440" w:after="160"/>
      </w:pPr>
      <w:r>
        <w:rPr>
          <w:b/>
          <w:color w:val="1A365D"/>
          <w:sz w:val="36"/>
        </w:rPr>
        <w:t>7. Screenshots &amp; UI Design Blueprint</w:t>
      </w:r>
    </w:p>
    <w:p>
      <w:pPr>
        <w:keepNext/>
        <w:spacing w:before="320" w:after="120"/>
      </w:pPr>
      <w:r>
        <w:rPr>
          <w:b/>
          <w:color w:val="2B6CB0"/>
          <w:sz w:val="26"/>
        </w:rPr>
        <w:t>7.1 Primary Interface Blueprint (Dashboard View)</w:t>
      </w:r>
    </w:p>
    <w:p>
      <w:r>
        <w:rPr>
          <w:rFonts w:ascii="Courier New" w:hAnsi="Courier New"/>
          <w:sz w:val="17"/>
        </w:rPr>
        <w:t>+-----------------------------------------------------------------------------+</w:t>
        <w:br/>
        <w:t>| ⚙️ AI Writer Pro                     ⚡ AI Writer Pro                       |</w:t>
        <w:br/>
        <w:t>|                                       Live AI Document Generator            |</w:t>
        <w:br/>
        <w:t>| 📌 Enter Topic:                       --------------------------            |</w:t>
        <w:br/>
        <w:t>| [ Cyber Security Trends 2026 ]                                              |</w:t>
        <w:br/>
        <w:t>|                                       ⚡ Generating LIVE content...        |</w:t>
        <w:br/>
        <w:t>| 📝 Select Document Type:                                                     |</w:t>
        <w:br/>
        <w:t>| [ Report                    v ]       ## Executive Summary                  |</w:t>
        <w:br/>
        <w:t>|                                       The landscape of enterprise defense   |</w:t>
        <w:br/>
        <w:t>| 🎯 Select Tone:                       is shifting toward zero-trust...      |</w:t>
        <w:br/>
        <w:t>| [ Professional              v ]                                             |</w:t>
        <w:br/>
        <w:t>|                                       ▌                                     |</w:t>
        <w:br/>
        <w:t>| 📄 Number of Pages:                                                         |</w:t>
        <w:br/>
        <w:t>| &lt;---[||]----------------------&gt; (2)                                         |</w:t>
        <w:br/>
        <w:t xml:space="preserve">|                                                                             | </w:t>
        <w:br/>
        <w:t>| 🚀 Generate Document                                                        |</w:t>
        <w:br/>
        <w:t>+-----------------------------------------------------------------------------+</w:t>
      </w:r>
    </w:p>
    <w:p>
      <w:pPr>
        <w:keepNext/>
        <w:spacing w:before="320" w:after="120"/>
      </w:pPr>
      <w:r>
        <w:rPr>
          <w:b/>
          <w:color w:val="2B6CB0"/>
          <w:sz w:val="26"/>
        </w:rPr>
        <w:t>7.2 Post-Generation Compilation Panel (Export Interface)</w:t>
      </w:r>
    </w:p>
    <w:p>
      <w:r>
        <w:rPr>
          <w:rFonts w:ascii="Courier New" w:hAnsi="Courier New"/>
          <w:sz w:val="17"/>
        </w:rPr>
        <w:t>+-----------------------------------------------------------------------------+</w:t>
        <w:br/>
        <w:t>| ✅ Document Generated Successfully (248 words)                              |</w:t>
        <w:br/>
        <w:t>| --------------------------------------------------------------------------- |</w:t>
        <w:br/>
        <w:t>|                                                                             |</w:t>
        <w:br/>
        <w:t>|  📥 Export Your Document                                                    |</w:t>
        <w:br/>
        <w:t>|  +-----------------------------------+ +---------------------------------+  |</w:t>
        <w:br/>
        <w:t>|  |  📥 Download Microsoft Word (DOCX) | |  📄 Download PDF Document       |  |</w:t>
        <w:br/>
        <w:t>|  +-----------------------------------+ +---------------------------------+  |</w:t>
        <w:br/>
        <w:t>+-----------------------------------------------------------------------------+</w:t>
      </w:r>
    </w:p>
    <w:p>
      <w:pPr>
        <w:keepNext/>
        <w:spacing w:before="440" w:after="160"/>
      </w:pPr>
      <w:r>
        <w:rPr>
          <w:b/>
          <w:color w:val="1A365D"/>
          <w:sz w:val="36"/>
        </w:rPr>
        <w:t>8. Future Scope &amp; Enhancements</w:t>
      </w:r>
    </w:p>
    <w:p>
      <w:pPr>
        <w:pStyle w:val="ListBullet"/>
        <w:spacing w:after="80"/>
      </w:pPr>
      <w:r>
        <w:rPr>
          <w:sz w:val="22"/>
        </w:rPr>
        <w:t>Retrieval-Augmented Generation (RAG): Incorporating a localized vector database engine (ChromaDB or FAISS). This will enable users to drag and drop internal reference files or data logs that the local LLM can parse for precise factual extraction.</w:t>
      </w:r>
    </w:p>
    <w:p>
      <w:pPr>
        <w:pStyle w:val="ListBullet"/>
        <w:spacing w:after="80"/>
      </w:pPr>
      <w:r>
        <w:rPr>
          <w:sz w:val="22"/>
        </w:rPr>
        <w:t>Custom OpenXML Templating: Enhancing the python-docx compiler to load custom corporate files pre-configured with corporate color motifs, geometric headers, and dynamic tracking footers.</w:t>
      </w:r>
    </w:p>
    <w:p>
      <w:pPr>
        <w:pStyle w:val="ListBullet"/>
        <w:spacing w:after="80"/>
      </w:pPr>
      <w:r>
        <w:rPr>
          <w:sz w:val="22"/>
        </w:rPr>
        <w:t>Multi-Model Orchestration: Implementing a dynamic selection tool to hot-swap local processing modules at runtime based on task complexity (e.g., migrating from phi3:mini to Llama3-8B or Mistral-7B depending on system hardware configurations).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D374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