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b/>
          <w:color w:val="718096"/>
          <w:sz w:val="19"/>
        </w:rPr>
        <w:t>SYSTEM ARCHITECTURE BLUEPRINT</w:t>
      </w:r>
    </w:p>
    <w:p>
      <w:pPr>
        <w:spacing w:after="80"/>
      </w:pPr>
      <w:r>
        <w:rPr>
          <w:b/>
          <w:color w:val="1A365D"/>
          <w:sz w:val="56"/>
        </w:rPr>
        <w:t>AI WRITER PRO</w:t>
      </w:r>
    </w:p>
    <w:p>
      <w:pPr>
        <w:spacing w:after="480"/>
      </w:pPr>
      <w:r>
        <w:rPr>
          <w:i/>
          <w:color w:val="2B6CB0"/>
          <w:sz w:val="26"/>
        </w:rPr>
        <w:t>Technical Architecture, Subsystem Data Flows, &amp; Core Mechanics</w:t>
      </w:r>
    </w:p>
    <w:p>
      <w:pPr>
        <w:spacing w:after="360"/>
      </w:pPr>
      <w:r>
        <w:rPr>
          <w:color w:val="718096"/>
        </w:rPr>
        <w:t>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A365D"/>
                <w:sz w:val="18"/>
              </w:rPr>
              <w:t>DOCUMENT PROFILE:</w:t>
              <w:br/>
            </w:r>
            <w:r>
              <w:rPr>
                <w:sz w:val="20"/>
              </w:rPr>
              <w:t>System Architecture Specification</w:t>
              <w:br/>
              <w:t>Project Ref: AI-WP-2026-LOCAL</w:t>
              <w:br/>
              <w:t>Status: Production Confirmed</w:t>
            </w:r>
          </w:p>
        </w:tc>
        <w:tc>
          <w:tcPr>
            <w:tcW w:type="dxa" w:w="4680"/>
          </w:tcPr>
          <w:p>
            <w:r>
              <w:rPr>
                <w:b/>
                <w:color w:val="1A365D"/>
                <w:sz w:val="18"/>
              </w:rPr>
              <w:t>DEVELOPMENT DETAILS:</w:t>
              <w:br/>
            </w:r>
            <w:r>
              <w:rPr>
                <w:sz w:val="20"/>
              </w:rPr>
              <w:t>Rahul Singh</w:t>
              <w:br/>
              <w:t>B.Tech in Data Science</w:t>
              <w:br/>
              <w:t>Platform Stack: Streamlit &amp; Ollama</w:t>
            </w:r>
          </w:p>
        </w:tc>
      </w:tr>
    </w:tbl>
    <w:p>
      <w:r>
        <w:br w:type="page"/>
      </w:r>
    </w:p>
    <w:p>
      <w:pPr>
        <w:keepNext/>
        <w:spacing w:before="440" w:after="160"/>
      </w:pPr>
      <w:r>
        <w:rPr>
          <w:b/>
          <w:color w:val="1A365D"/>
          <w:sz w:val="36"/>
        </w:rPr>
        <w:t>1. Architectural Overview</w:t>
      </w:r>
    </w:p>
    <w:p>
      <w:pPr>
        <w:spacing w:after="160" w:line="276" w:lineRule="auto"/>
      </w:pPr>
      <w:r>
        <w:rPr>
          <w:sz w:val="22"/>
        </w:rPr>
        <w:t>The application is structured around a Decentralized Model-View-Controller (MVC) adaptation pattern specifically tailored for live stream token synchronization. By mapping front-end interactive state elements onto a local loop daemon interface, the layout bridges structural data entry directly to the localized Transformer weight matrix pipelines.</w:t>
      </w:r>
    </w:p>
    <w:p>
      <w:pPr>
        <w:keepNext/>
        <w:spacing w:before="440" w:after="160"/>
      </w:pPr>
      <w:r>
        <w:rPr>
          <w:b/>
          <w:color w:val="1A365D"/>
          <w:sz w:val="36"/>
        </w:rPr>
        <w:t>2. High-Level Architecture Blueprint</w:t>
      </w:r>
    </w:p>
    <w:p>
      <w:pPr>
        <w:spacing w:after="160" w:line="276" w:lineRule="auto"/>
      </w:pPr>
      <w:r>
        <w:rPr>
          <w:sz w:val="22"/>
        </w:rPr>
        <w:t>The architectural schematic below highlights the cross-system boundaries mapping out user parameter configurations all the way to native application binary generations:</w:t>
      </w:r>
    </w:p>
    <w:p>
      <w:pPr>
        <w:spacing w:before="120" w:after="240"/>
      </w:pPr>
      <w:r>
        <w:rPr>
          <w:rFonts w:ascii="Courier New" w:hAnsi="Courier New"/>
          <w:color w:val="2D3748"/>
          <w:sz w:val="17"/>
        </w:rPr>
        <w:t>+----------------------------------------------------------------------------+</w:t>
        <w:br/>
        <w:t>|                             USER INTERACTION LAYER                         |</w:t>
        <w:br/>
        <w:t>|   +-----------------------------------+    +---------------------------+   |</w:t>
        <w:br/>
        <w:t>|   |   Sidebar Configuration Canvas    |    |   Dynamic Entry Canvas    |   |</w:t>
        <w:br/>
        <w:t>|   |   (Mode, Tone, Page Sliders)      |    |   (Form Injection Block)  |   |</w:t>
        <w:br/>
        <w:t>|   +-----------------------------------+    +---------------------------+   |</w:t>
        <w:br/>
        <w:t>+--------------------------------------|-------------------------------------+</w:t>
        <w:br/>
        <w:t xml:space="preserve">                                       |</w:t>
        <w:br/>
        <w:t xml:space="preserve">                                       v [Generate Signal Triggered]</w:t>
        <w:br/>
        <w:t>+----------------------------------------------------------------------------+</w:t>
        <w:br/>
        <w:t>|                          ORCHESTRATION &amp; STATE CONTROL                     |</w:t>
        <w:br/>
        <w:t>|   +--------------------------------------------------------------------+   |</w:t>
        <w:br/>
        <w:t>|   |                      Context Construction Engine                   |   |</w:t>
        <w:br/>
        <w:t>|   |   - State Check: `if not topic` Guard Rails Validation             |   |</w:t>
        <w:br/>
        <w:t>|   |   - Instruction Matrix Mapping: `task_map` &amp; `extra_instruction`  |   |</w:t>
        <w:br/>
        <w:t>|   +--------------------------------------------------------------------+   |</w:t>
        <w:br/>
        <w:t>|                                      |                                     |</w:t>
        <w:br/>
        <w:t>|                                      v                                     |</w:t>
        <w:br/>
        <w:t>|   +--------------------------------------------------------------------+   |</w:t>
        <w:br/>
        <w:t>|   |                   Streamlit App State Container                    |   |</w:t>
        <w:br/>
        <w:t>|   |   - Mutable UI Refresh Buffer Elements (`st.empty()`)              |   |</w:t>
        <w:br/>
        <w:t>|   +--------------------------------------------------------------------+   |</w:t>
        <w:br/>
        <w:t>+--------------------------------------|-------------------------------------+</w:t>
        <w:br/>
        <w:t xml:space="preserve">                                       |</w:t>
        <w:br/>
        <w:t xml:space="preserve">                                       v [Local Socket Port TCP:11434]</w:t>
        <w:br/>
        <w:t>+----------------------------------------------------------------------------+</w:t>
        <w:br/>
        <w:t>|                         LOCAL INFERENCE SERVICE CORE                       |</w:t>
        <w:br/>
        <w:t>|   +--------------------------------------------------------------------+   |</w:t>
        <w:br/>
        <w:t>|   |                      Ollama Micro-Daemon Container                 |   |</w:t>
        <w:br/>
        <w:t>|   |   - Neural Weight Target Execution Layer (`phi3:mini`)             |   |</w:t>
        <w:br/>
        <w:t>|   |   - Quantized Transformer Chunk Generator Loop                     |   |</w:t>
        <w:br/>
        <w:t>|   +--------------------------------------------------------------------+   |</w:t>
        <w:br/>
        <w:t>+--------------------------------------|-------------------------------------+</w:t>
        <w:br/>
        <w:t xml:space="preserve">                                       |</w:t>
        <w:br/>
        <w:t xml:space="preserve">                                       v [Asynchronous Chunk Intercept]</w:t>
        <w:br/>
        <w:t>+----------------------------------------------------------------------------+</w:t>
        <w:br/>
        <w:t>|                        DOCUMENT COMPILATION COMPONENT                      |</w:t>
        <w:br/>
        <w:t>|   +--------------------------------------------------------------------+   |</w:t>
        <w:br/>
        <w:t>|   |                    Dynamic Structural Tokenizer                    |   |</w:t>
        <w:br/>
        <w:t>|   |   - Line Iterator Stack Loop: `full_text.split('\n')`              |   |</w:t>
        <w:br/>
        <w:t>|   +----------------------------------+---------------------------------+   |</w:t>
        <w:br/>
        <w:t>|                                      |                                     |</w:t>
        <w:br/>
        <w:t>|                  v [Markdown Matching]       v [Flowable Packing]          |</w:t>
        <w:br/>
        <w:t>|   +----------------------------------+ +-------------------------------+   |</w:t>
        <w:br/>
        <w:t>|   |        python-docx Factory       | |       ReportLab PDF Factory   |   |</w:t>
        <w:br/>
        <w:t>|   |   - Element Node: Header Level 1 | |   - Layout: SimpleDocTemplate |   |</w:t>
        <w:br/>
        <w:t>|   |   - Element Node: List Bullet    | |   - Layout: Flowable Paragraph|   |</w:t>
        <w:br/>
        <w:t>|   +----------------------------------+ +-------------------------------+   |</w:t>
        <w:br/>
        <w:t>+----------------------------------|-------------------|---------------------+</w:t>
        <w:br/>
        <w:t xml:space="preserve">                                   v                   v</w:t>
        <w:br/>
        <w:t>+----------------------------------------------------------------------------+</w:t>
        <w:br/>
        <w:t>|                             LOCAL STORAGE PLATFORM                         |</w:t>
        <w:br/>
        <w:t>|                 [Output_Document.docx]   [Output_Document.pdf]              |</w:t>
        <w:br/>
        <w:t>+----------------------------------------------------------------------------+</w:t>
      </w:r>
    </w:p>
    <w:p>
      <w:pPr>
        <w:keepNext/>
        <w:spacing w:before="440" w:after="160"/>
      </w:pPr>
      <w:r>
        <w:rPr>
          <w:b/>
          <w:color w:val="1A365D"/>
          <w:sz w:val="36"/>
        </w:rPr>
        <w:t>3. Core Subsystem Dissection</w:t>
      </w:r>
    </w:p>
    <w:p>
      <w:pPr>
        <w:keepNext/>
        <w:spacing w:before="320" w:after="120"/>
      </w:pPr>
      <w:r>
        <w:rPr>
          <w:b/>
          <w:color w:val="2B6CB0"/>
          <w:sz w:val="26"/>
        </w:rPr>
        <w:t>3.1 Presentation &amp; Dynamic UI Subsystem (View)</w:t>
      </w:r>
    </w:p>
    <w:p>
      <w:pPr>
        <w:spacing w:after="160" w:line="276" w:lineRule="auto"/>
      </w:pPr>
      <w:r>
        <w:rPr>
          <w:sz w:val="22"/>
        </w:rPr>
        <w:t>The visual framework is built completely using the Streamlit layout engine. The UI separates core operational fields using a logical interface split:</w:t>
      </w:r>
    </w:p>
    <w:p>
      <w:pPr>
        <w:spacing w:after="160" w:line="276" w:lineRule="auto"/>
      </w:pPr>
      <w:r>
        <w:rPr>
          <w:sz w:val="22"/>
        </w:rPr>
        <w:t>- Static Parameter Side-Deck: Manages invariant configuration metrics including processing target types, contextual tone arrays, and sliders calculating final word boundary estimations.</w:t>
      </w:r>
    </w:p>
    <w:p>
      <w:pPr>
        <w:spacing w:after="160" w:line="276" w:lineRule="auto"/>
      </w:pPr>
      <w:r>
        <w:rPr>
          <w:sz w:val="22"/>
        </w:rPr>
        <w:t>- Dynamic Context Injection: The controller intercepts state paths using conditional control variables (such as if mode == 'Resume':) to seamlessly push extensive data capture modules straight into the center viewport landscape, keeping secondary entry fields from cramping the layout side-decks.</w:t>
      </w:r>
    </w:p>
    <w:p>
      <w:pPr>
        <w:keepNext/>
        <w:spacing w:before="320" w:after="120"/>
      </w:pPr>
      <w:r>
        <w:rPr>
          <w:b/>
          <w:color w:val="2B6CB0"/>
          <w:sz w:val="26"/>
        </w:rPr>
        <w:t>3.2 Execution Orchestration Controller (Model Context)</w:t>
      </w:r>
    </w:p>
    <w:p>
      <w:pPr>
        <w:spacing w:after="160" w:line="276" w:lineRule="auto"/>
      </w:pPr>
      <w:r>
        <w:rPr>
          <w:sz w:val="22"/>
        </w:rPr>
        <w:t>This subsystem maps operational attributes, verifies missing parameter buffers, and builds string payload profiles before initializing execution queries:</w:t>
      </w:r>
    </w:p>
    <w:p>
      <w:pPr>
        <w:spacing w:after="160" w:line="276" w:lineRule="auto"/>
      </w:pPr>
      <w:r>
        <w:rPr>
          <w:sz w:val="22"/>
        </w:rPr>
        <w:t>- Task Mapping Matrix: Binds chosen content targets directly to descriptive core targets using dictionary indexes.</w:t>
      </w:r>
    </w:p>
    <w:p>
      <w:pPr>
        <w:spacing w:after="160" w:line="276" w:lineRule="auto"/>
      </w:pPr>
      <w:r>
        <w:rPr>
          <w:sz w:val="22"/>
        </w:rPr>
        <w:t>- Dynamic Content Expansion: Assembles raw data fields along with instruction rules into a single structural block containing explicit style boundaries. This tells the LLM to skip surrounding code fences (like triple backticks) so the output data doesn't break down-line parsing engines.</w:t>
      </w:r>
    </w:p>
    <w:p>
      <w:pPr>
        <w:keepNext/>
        <w:spacing w:before="320" w:after="120"/>
      </w:pPr>
      <w:r>
        <w:rPr>
          <w:b/>
          <w:color w:val="2B6CB0"/>
          <w:sz w:val="26"/>
        </w:rPr>
        <w:t>3.3 Isolated Local Inference Subsystem (AI Engine)</w:t>
      </w:r>
    </w:p>
    <w:p>
      <w:pPr>
        <w:spacing w:after="160" w:line="276" w:lineRule="auto"/>
      </w:pPr>
      <w:r>
        <w:rPr>
          <w:sz w:val="22"/>
        </w:rPr>
        <w:t>To preserve absolute confidentiality, the application completely bypasses public networks or cloud endpoints. It orchestrates content via an internal host communications bridge:</w:t>
      </w:r>
    </w:p>
    <w:p>
      <w:pPr>
        <w:spacing w:after="160" w:line="276" w:lineRule="auto"/>
      </w:pPr>
      <w:r>
        <w:rPr>
          <w:sz w:val="22"/>
        </w:rPr>
        <w:t>- Asynchronous Chunk Loop: To avoid freezing UI windows during massive payload processing blocks, the loop communicates with the model daemon using streaming protocols.</w:t>
      </w:r>
    </w:p>
    <w:p>
      <w:pPr>
        <w:spacing w:after="160" w:line="276" w:lineRule="auto"/>
      </w:pPr>
      <w:r>
        <w:rPr>
          <w:sz w:val="22"/>
        </w:rPr>
        <w:t>- Dynamic Display Synchronization: Incoming tokens are captured iteratively and saved directly to runtime text buffers. The view panel displays updating strings concurrently using dynamic screen buffer placeholders.</w:t>
      </w:r>
    </w:p>
    <w:p>
      <w:pPr>
        <w:keepNext/>
        <w:spacing w:before="320" w:after="120"/>
      </w:pPr>
      <w:r>
        <w:rPr>
          <w:b/>
          <w:color w:val="2B6CB0"/>
          <w:sz w:val="26"/>
        </w:rPr>
        <w:t>3.4 Output Compilers &amp; Document Assembly Factory (Storage I/O)</w:t>
      </w:r>
    </w:p>
    <w:p>
      <w:pPr>
        <w:spacing w:after="160" w:line="276" w:lineRule="auto"/>
      </w:pPr>
      <w:r>
        <w:rPr>
          <w:sz w:val="22"/>
        </w:rPr>
        <w:t>Upon string generation completion, text strings move into dual isolated binary generation factories:</w:t>
      </w:r>
    </w:p>
    <w:p>
      <w:pPr>
        <w:spacing w:after="160" w:line="276" w:lineRule="auto"/>
      </w:pPr>
      <w:r>
        <w:rPr>
          <w:sz w:val="22"/>
        </w:rPr>
        <w:t>- Word Processing Layer (python-docx): Reads code string arrays using line splitting operations. It translates lines starting with markdown hashes (#) into styled Heading elements, while mapping dash signs (-) onto native List Bullet structures.</w:t>
      </w:r>
    </w:p>
    <w:p>
      <w:pPr>
        <w:spacing w:after="160" w:line="276" w:lineRule="auto"/>
      </w:pPr>
      <w:r>
        <w:rPr>
          <w:sz w:val="22"/>
        </w:rPr>
        <w:t>- Portable Document Layer (reportlab): Constructs structured page template layouts. It packs individual lines into clean text Paragraph components and appends uniform vertical padding blocks to ensure high-fidelity printing alignments.</w:t>
      </w:r>
    </w:p>
    <w:p>
      <w:pPr>
        <w:keepNext/>
        <w:spacing w:before="440" w:after="160"/>
      </w:pPr>
      <w:r>
        <w:rPr>
          <w:b/>
          <w:color w:val="1A365D"/>
          <w:sz w:val="36"/>
        </w:rPr>
        <w:t>4. Architectural Performance Trade-offs</w:t>
      </w:r>
    </w:p>
    <w:p>
      <w:pPr>
        <w:spacing w:after="160" w:line="276" w:lineRule="auto"/>
      </w:pPr>
      <w:r>
        <w:rPr>
          <w:sz w:val="22"/>
        </w:rPr>
        <w:t>1. Stateless Execution Re-Renders: Standard Streamlit workflows execute files from line 1 upon any action. Because download nodes are located inside the generation conditional statement, trigger updates can inadvertently drop active download panels. (Resolved cleanly in our secondary iteration using st.session_state buffers).</w:t>
      </w:r>
    </w:p>
    <w:p>
      <w:pPr>
        <w:spacing w:after="160" w:line="276" w:lineRule="auto"/>
      </w:pPr>
      <w:r>
        <w:rPr>
          <w:sz w:val="22"/>
        </w:rPr>
        <w:t>2. Structural Entity Breaking: ReportLab paragraphs handle string objects using XML layout guidelines. Passing unescaped characters like '&amp;' or '&lt;' can break rendering paths. Applying strict replace conditions protects layout integrity against arbitrary content crashes.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