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480"/>
        <w:jc w:val="center"/>
      </w:pPr>
      <w:r>
        <w:rPr>
          <w:b/>
          <w:color w:val="2B6CB0"/>
          <w:sz w:val="22"/>
        </w:rPr>
        <w:t>A MAJOR PROJECT REPORT</w:t>
      </w:r>
    </w:p>
    <w:p>
      <w:pPr>
        <w:spacing w:after="360"/>
        <w:jc w:val="center"/>
      </w:pPr>
      <w:r>
        <w:rPr>
          <w:b/>
          <w:color w:val="1A365D"/>
          <w:sz w:val="48"/>
        </w:rPr>
        <w:t>AI WRITER PRO</w:t>
        <w:br/>
        <w:t>An Automated Multi-Format Document and Resume Generation Platform</w:t>
      </w:r>
    </w:p>
    <w:p>
      <w:pPr>
        <w:spacing w:after="240"/>
        <w:jc w:val="center"/>
      </w:pPr>
      <w:r>
        <w:rPr>
          <w:i/>
          <w:sz w:val="22"/>
        </w:rPr>
        <w:t>Submitted in partial fulfillment of the requirements for the award of the degree of</w:t>
      </w:r>
    </w:p>
    <w:p>
      <w:pPr>
        <w:spacing w:after="1200"/>
        <w:jc w:val="center"/>
      </w:pPr>
      <w:r>
        <w:rPr>
          <w:b/>
          <w:color w:val="1A365D"/>
          <w:sz w:val="28"/>
        </w:rPr>
        <w:t>BACHELOR OF TECHNOLOGY</w:t>
        <w:br/>
        <w:t>IN</w:t>
        <w:br/>
        <w:t>DATA SCIENCE / COMPUTER SCIENCE &amp; ENGINEERING</w:t>
      </w:r>
    </w:p>
    <w:tbl>
      <w:tblPr>
        <w:tblW w:type="auto" w:w="0"/>
        <w:jc w:val="center"/>
        <w:tblLayout w:type="fixed"/>
        <w:tblLook w:firstColumn="1" w:firstRow="1" w:lastColumn="0" w:lastRow="0" w:noHBand="0" w:noVBand="1" w:val="04A0"/>
      </w:tblPr>
      <w:tblGrid>
        <w:gridCol w:w="4680"/>
        <w:gridCol w:w="4680"/>
      </w:tblGrid>
      <w:tr>
        <w:tc>
          <w:tcPr>
            <w:tcW w:type="dxa" w:w="4500"/>
          </w:tcPr>
          <w:p>
            <w:r>
              <w:rPr>
                <w:b/>
                <w:color w:val="2B6CB0"/>
                <w:sz w:val="20"/>
              </w:rPr>
              <w:t>SUBMITTED BY:</w:t>
              <w:br/>
            </w:r>
            <w:r>
              <w:rPr>
                <w:sz w:val="22"/>
              </w:rPr>
              <w:t>Rahul Singh</w:t>
              <w:br/>
              <w:t>University Roll No: [................]</w:t>
              <w:br/>
              <w:t>Batch: 2022–2026</w:t>
            </w:r>
          </w:p>
        </w:tc>
        <w:tc>
          <w:tcPr>
            <w:tcW w:type="dxa" w:w="4500"/>
          </w:tcPr>
          <w:p>
            <w:pPr>
              <w:jc w:val="right"/>
            </w:pPr>
            <w:r>
              <w:rPr>
                <w:b/>
                <w:color w:val="2B6CB0"/>
                <w:sz w:val="20"/>
              </w:rPr>
              <w:t>UNDER THE GUIDANCE OF:</w:t>
              <w:br/>
            </w:r>
            <w:r>
              <w:rPr>
                <w:sz w:val="22"/>
              </w:rPr>
              <w:t>Project Guide / Mentor</w:t>
              <w:br/>
              <w:t>Assistant Professor</w:t>
              <w:br/>
              <w:t>Dept. of Computer Science &amp; Engineering</w:t>
            </w:r>
          </w:p>
        </w:tc>
      </w:tr>
    </w:tbl>
    <w:p>
      <w:pPr>
        <w:spacing w:before="1440"/>
      </w:pPr>
    </w:p>
    <w:p>
      <w:pPr>
        <w:jc w:val="center"/>
      </w:pPr>
      <w:r>
        <w:rPr>
          <w:b/>
          <w:color w:val="1A365D"/>
          <w:sz w:val="24"/>
        </w:rPr>
        <w:t>DEPARTMENT OF COMPUTER SCIENCE &amp; ENGINEERING</w:t>
        <w:br/>
        <w:t>..........................................................................</w:t>
        <w:br/>
        <w:t>[AFFILIATED UNIVERSITY NAME / LOCATION]</w:t>
      </w:r>
    </w:p>
    <w:p>
      <w:r>
        <w:br w:type="page"/>
      </w:r>
    </w:p>
    <w:p>
      <w:pPr>
        <w:keepNext/>
        <w:spacing w:before="480" w:after="240"/>
      </w:pPr>
      <w:r>
        <w:rPr>
          <w:b/>
          <w:color w:val="1A365D"/>
          <w:sz w:val="36"/>
        </w:rPr>
        <w:t>Certificate</w:t>
      </w:r>
    </w:p>
    <w:p>
      <w:pPr>
        <w:spacing w:after="200" w:line="276" w:lineRule="auto"/>
        <w:jc w:val="both"/>
      </w:pPr>
      <w:r>
        <w:rPr>
          <w:sz w:val="22"/>
        </w:rPr>
        <w:t>This is to certify that the project titled “AI Writer Pro – AI-Powered Multi-Format Document and Resume Generation Platform” has been successfully completed by Rahul Singh under the guidance of our assigned project mentor during the academic session 2025–2026.</w:t>
      </w:r>
    </w:p>
    <w:p>
      <w:pPr>
        <w:spacing w:after="200" w:line="276" w:lineRule="auto"/>
        <w:jc w:val="both"/>
      </w:pPr>
      <w:r>
        <w:rPr>
          <w:sz w:val="22"/>
        </w:rPr>
        <w:t>The project work submitted is a genuine record of original engineering work carried out by the student. The results contained within this report have not been submitted to any other university or institute for the award of any degree or diploma.</w:t>
      </w:r>
    </w:p>
    <w:p>
      <w:pPr>
        <w:spacing w:before="960"/>
      </w:pPr>
    </w:p>
    <w:tbl>
      <w:tblPr>
        <w:tblW w:type="auto" w:w="0"/>
        <w:tblLayout w:type="fixed"/>
        <w:tblLook w:firstColumn="1" w:firstRow="1" w:lastColumn="0" w:lastRow="0" w:noHBand="0" w:noVBand="1" w:val="04A0"/>
      </w:tblPr>
      <w:tblGrid>
        <w:gridCol w:w="4680"/>
        <w:gridCol w:w="4680"/>
      </w:tblGrid>
      <w:tr>
        <w:tc>
          <w:tcPr>
            <w:tcW w:type="dxa" w:w="4500"/>
          </w:tcPr>
          <w:p>
            <w:r>
              <w:t>______________________</w:t>
              <w:br/>
              <w:t>Project Guide Signature</w:t>
              <w:br/>
              <w:t>Assistant Professor, CSE</w:t>
            </w:r>
          </w:p>
        </w:tc>
        <w:tc>
          <w:tcPr>
            <w:tcW w:type="dxa" w:w="4500"/>
          </w:tcPr>
          <w:p>
            <w:pPr>
              <w:jc w:val="right"/>
            </w:pPr>
            <w:r>
              <w:t>______________________</w:t>
              <w:br/>
              <w:t>Head of Department (HOD)</w:t>
              <w:br/>
              <w:t>Dept. of Computer Science</w:t>
            </w:r>
          </w:p>
        </w:tc>
      </w:tr>
    </w:tbl>
    <w:p>
      <w:r>
        <w:br w:type="page"/>
      </w:r>
    </w:p>
    <w:p>
      <w:pPr>
        <w:keepNext/>
        <w:spacing w:before="480" w:after="240"/>
      </w:pPr>
      <w:r>
        <w:rPr>
          <w:b/>
          <w:color w:val="1A365D"/>
          <w:sz w:val="36"/>
        </w:rPr>
        <w:t>Declaration</w:t>
      </w:r>
    </w:p>
    <w:p>
      <w:pPr>
        <w:spacing w:after="200" w:line="276" w:lineRule="auto"/>
        <w:jc w:val="both"/>
      </w:pPr>
      <w:r>
        <w:rPr>
          <w:sz w:val="22"/>
        </w:rPr>
        <w:t>I hereby declare that the project report entitled “AI Writer Pro – AI-Powered Multi-Format Document and Resume Generation Platform” is my original work and has been completed under the guidance and mentorship of our department faculty.</w:t>
      </w:r>
    </w:p>
    <w:p>
      <w:pPr>
        <w:spacing w:after="200" w:line="276" w:lineRule="auto"/>
        <w:jc w:val="both"/>
      </w:pPr>
      <w:r>
        <w:rPr>
          <w:sz w:val="22"/>
        </w:rPr>
        <w:t>I have explicitly acknowledged and cited all references, libraries, third-party frameworks, and tools used during the operational research and coding lifecycle of this platform. The information submitted in this technical report is true and correct to the best of my knowledge and engineering findings.</w:t>
      </w:r>
    </w:p>
    <w:p>
      <w:pPr>
        <w:spacing w:before="960"/>
      </w:pPr>
    </w:p>
    <w:p>
      <w:pPr>
        <w:jc w:val="right"/>
      </w:pPr>
      <w:r>
        <w:t>______________________</w:t>
        <w:br/>
        <w:t>Rahul Singh</w:t>
        <w:br/>
        <w:t>Roll No: [................]</w:t>
        <w:br/>
        <w:t>Dept. of Computer Science</w:t>
      </w:r>
    </w:p>
    <w:p>
      <w:r>
        <w:br w:type="page"/>
      </w:r>
    </w:p>
    <w:p>
      <w:pPr>
        <w:keepNext/>
        <w:spacing w:before="480" w:after="240"/>
      </w:pPr>
      <w:r>
        <w:rPr>
          <w:b/>
          <w:color w:val="1A365D"/>
          <w:sz w:val="36"/>
        </w:rPr>
        <w:t>Acknowledgement</w:t>
      </w:r>
    </w:p>
    <w:p>
      <w:pPr>
        <w:spacing w:after="200" w:line="276" w:lineRule="auto"/>
        <w:jc w:val="both"/>
      </w:pPr>
      <w:r>
        <w:rPr>
          <w:sz w:val="22"/>
        </w:rPr>
        <w:t>Apart from my personal efforts, the success of this advanced engineering platform depends largely on the continuous encouragement, technical insights, and guidelines of many professionals.</w:t>
      </w:r>
    </w:p>
    <w:p>
      <w:pPr>
        <w:spacing w:after="200" w:line="276" w:lineRule="auto"/>
        <w:jc w:val="both"/>
      </w:pPr>
      <w:r>
        <w:rPr>
          <w:sz w:val="22"/>
        </w:rPr>
        <w:t>I take this golden opportunity to express my profound gratitude and sincere thanks to our institutional Principal, Head of Department, and assigned project guide in the Department of Computer Science &amp; Engineering. They provided me with invaluable baseline advice, continuous architectural support, and solved critical programmatic questions whenever I faced roadblocks in the development logic.</w:t>
      </w:r>
    </w:p>
    <w:p>
      <w:pPr>
        <w:spacing w:after="200" w:line="276" w:lineRule="auto"/>
        <w:jc w:val="both"/>
      </w:pPr>
      <w:r>
        <w:rPr>
          <w:sz w:val="22"/>
        </w:rPr>
        <w:t>I am also highly grateful to Mr. Rajat Kumar, Chief Instructor at VProTech Digital, Mohali, along with the technical engineering mentors at VProTech, for providing high-fidelity industrial training, baseline cybersecurity awareness, and essential concept grounding right from Day 1 to the final production implementation phase.</w:t>
      </w:r>
    </w:p>
    <w:p>
      <w:pPr>
        <w:spacing w:after="200" w:line="276" w:lineRule="auto"/>
        <w:jc w:val="both"/>
      </w:pPr>
      <w:r>
        <w:rPr>
          <w:sz w:val="22"/>
        </w:rPr>
        <w:t>Finally, I would like to extend my deepest appreciation to my family members and peers for their steady motivation, patience, and support throughout the project research timeline.</w:t>
      </w:r>
    </w:p>
    <w:p>
      <w:r>
        <w:br w:type="page"/>
      </w:r>
    </w:p>
    <w:p>
      <w:pPr>
        <w:keepNext/>
        <w:spacing w:before="480" w:after="240"/>
      </w:pPr>
      <w:r>
        <w:rPr>
          <w:b/>
          <w:color w:val="1A365D"/>
          <w:sz w:val="36"/>
        </w:rPr>
        <w:t>Table of Contents</w:t>
      </w:r>
    </w:p>
    <w:tbl>
      <w:tblPr>
        <w:tblStyle w:val="TableGrid"/>
        <w:tblW w:type="auto" w:w="0"/>
        <w:tblLook w:firstColumn="1" w:firstRow="1" w:lastColumn="0" w:lastRow="0" w:noHBand="0" w:noVBand="1" w:val="04A0"/>
      </w:tblPr>
      <w:tblGrid>
        <w:gridCol w:w="3000"/>
        <w:gridCol w:w="3000"/>
        <w:gridCol w:w="3000"/>
      </w:tblGrid>
      <w:tr>
        <w:tc>
          <w:tcPr>
            <w:tcW w:type="dxa" w:w="1440"/>
            <w:shd w:fill="1A365D"/>
            <w:tcMar>
              <w:top w:w="100" w:type="dxa"/>
              <w:bottom w:w="100" w:type="dxa"/>
              <w:left w:w="100" w:type="dxa"/>
              <w:right w:w="100" w:type="dxa"/>
            </w:tcMar>
          </w:tcPr>
          <w:p>
            <w:pPr>
              <w:jc w:val="center"/>
            </w:pPr>
            <w:r>
              <w:rPr>
                <w:b/>
                <w:color w:val="FFFFFF"/>
                <w:sz w:val="20"/>
              </w:rPr>
              <w:t>S.No.</w:t>
            </w:r>
          </w:p>
        </w:tc>
        <w:tc>
          <w:tcPr>
            <w:tcW w:type="dxa" w:w="6480"/>
            <w:shd w:fill="1A365D"/>
            <w:tcMar>
              <w:top w:w="100" w:type="dxa"/>
              <w:bottom w:w="100" w:type="dxa"/>
              <w:left w:w="100" w:type="dxa"/>
              <w:right w:w="100" w:type="dxa"/>
            </w:tcMar>
          </w:tcPr>
          <w:p>
            <w:r>
              <w:rPr>
                <w:b/>
                <w:color w:val="FFFFFF"/>
                <w:sz w:val="20"/>
              </w:rPr>
              <w:t>Topic / Chapter Details</w:t>
            </w:r>
          </w:p>
        </w:tc>
        <w:tc>
          <w:tcPr>
            <w:tcW w:type="dxa" w:w="1440"/>
            <w:shd w:fill="1A365D"/>
            <w:tcMar>
              <w:top w:w="100" w:type="dxa"/>
              <w:bottom w:w="100" w:type="dxa"/>
              <w:left w:w="100" w:type="dxa"/>
              <w:right w:w="100" w:type="dxa"/>
            </w:tcMar>
          </w:tcPr>
          <w:p>
            <w:pPr>
              <w:jc w:val="center"/>
            </w:pPr>
            <w:r>
              <w:rPr>
                <w:b/>
                <w:color w:val="FFFFFF"/>
                <w:sz w:val="20"/>
              </w:rPr>
              <w:t>Page No.</w:t>
            </w:r>
          </w:p>
        </w:tc>
      </w:tr>
      <w:tr>
        <w:tc>
          <w:tcPr>
            <w:tcW w:type="dxa" w:w="1440"/>
            <w:tcMar>
              <w:top w:w="80" w:type="dxa"/>
              <w:bottom w:w="80" w:type="dxa"/>
              <w:left w:w="100" w:type="dxa"/>
              <w:right w:w="100" w:type="dxa"/>
            </w:tcMar>
          </w:tcPr>
          <w:p>
            <w:pPr>
              <w:jc w:val="center"/>
            </w:pPr>
            <w:r>
              <w:rPr>
                <w:sz w:val="20"/>
              </w:rPr>
              <w:t>1</w:t>
            </w:r>
          </w:p>
        </w:tc>
        <w:tc>
          <w:tcPr>
            <w:tcW w:type="dxa" w:w="6480"/>
            <w:tcMar>
              <w:top w:w="80" w:type="dxa"/>
              <w:bottom w:w="80" w:type="dxa"/>
              <w:left w:w="100" w:type="dxa"/>
              <w:right w:w="100" w:type="dxa"/>
            </w:tcMar>
          </w:tcPr>
          <w:p>
            <w:r>
              <w:rPr>
                <w:b/>
                <w:sz w:val="20"/>
              </w:rPr>
              <w:t>Certificate</w:t>
            </w:r>
          </w:p>
        </w:tc>
        <w:tc>
          <w:tcPr>
            <w:tcW w:type="dxa" w:w="1440"/>
            <w:tcMar>
              <w:top w:w="80" w:type="dxa"/>
              <w:bottom w:w="80" w:type="dxa"/>
              <w:left w:w="100" w:type="dxa"/>
              <w:right w:w="100" w:type="dxa"/>
            </w:tcMar>
          </w:tcPr>
          <w:p>
            <w:pPr>
              <w:jc w:val="center"/>
            </w:pPr>
            <w:r>
              <w:rPr>
                <w:sz w:val="20"/>
              </w:rPr>
              <w:t>ii</w:t>
            </w:r>
          </w:p>
        </w:tc>
      </w:tr>
      <w:tr>
        <w:tc>
          <w:tcPr>
            <w:tcW w:type="dxa" w:w="1440"/>
            <w:tcMar>
              <w:top w:w="80" w:type="dxa"/>
              <w:bottom w:w="80" w:type="dxa"/>
              <w:left w:w="100" w:type="dxa"/>
              <w:right w:w="100" w:type="dxa"/>
            </w:tcMar>
          </w:tcPr>
          <w:p>
            <w:pPr>
              <w:jc w:val="center"/>
            </w:pPr>
            <w:r>
              <w:rPr>
                <w:sz w:val="20"/>
              </w:rPr>
              <w:t>2</w:t>
            </w:r>
          </w:p>
        </w:tc>
        <w:tc>
          <w:tcPr>
            <w:tcW w:type="dxa" w:w="6480"/>
            <w:tcMar>
              <w:top w:w="80" w:type="dxa"/>
              <w:bottom w:w="80" w:type="dxa"/>
              <w:left w:w="100" w:type="dxa"/>
              <w:right w:w="100" w:type="dxa"/>
            </w:tcMar>
          </w:tcPr>
          <w:p>
            <w:r>
              <w:rPr>
                <w:b/>
                <w:sz w:val="20"/>
              </w:rPr>
              <w:t>Declaration</w:t>
            </w:r>
          </w:p>
        </w:tc>
        <w:tc>
          <w:tcPr>
            <w:tcW w:type="dxa" w:w="1440"/>
            <w:tcMar>
              <w:top w:w="80" w:type="dxa"/>
              <w:bottom w:w="80" w:type="dxa"/>
              <w:left w:w="100" w:type="dxa"/>
              <w:right w:w="100" w:type="dxa"/>
            </w:tcMar>
          </w:tcPr>
          <w:p>
            <w:pPr>
              <w:jc w:val="center"/>
            </w:pPr>
            <w:r>
              <w:rPr>
                <w:sz w:val="20"/>
              </w:rPr>
              <w:t>iii</w:t>
            </w:r>
          </w:p>
        </w:tc>
      </w:tr>
      <w:tr>
        <w:tc>
          <w:tcPr>
            <w:tcW w:type="dxa" w:w="1440"/>
            <w:tcMar>
              <w:top w:w="80" w:type="dxa"/>
              <w:bottom w:w="80" w:type="dxa"/>
              <w:left w:w="100" w:type="dxa"/>
              <w:right w:w="100" w:type="dxa"/>
            </w:tcMar>
          </w:tcPr>
          <w:p>
            <w:pPr>
              <w:jc w:val="center"/>
            </w:pPr>
            <w:r>
              <w:rPr>
                <w:sz w:val="20"/>
              </w:rPr>
              <w:t>3</w:t>
            </w:r>
          </w:p>
        </w:tc>
        <w:tc>
          <w:tcPr>
            <w:tcW w:type="dxa" w:w="6480"/>
            <w:tcMar>
              <w:top w:w="80" w:type="dxa"/>
              <w:bottom w:w="80" w:type="dxa"/>
              <w:left w:w="100" w:type="dxa"/>
              <w:right w:w="100" w:type="dxa"/>
            </w:tcMar>
          </w:tcPr>
          <w:p>
            <w:r>
              <w:rPr>
                <w:b/>
                <w:sz w:val="20"/>
              </w:rPr>
              <w:t>Acknowledgement</w:t>
            </w:r>
          </w:p>
        </w:tc>
        <w:tc>
          <w:tcPr>
            <w:tcW w:type="dxa" w:w="1440"/>
            <w:tcMar>
              <w:top w:w="80" w:type="dxa"/>
              <w:bottom w:w="80" w:type="dxa"/>
              <w:left w:w="100" w:type="dxa"/>
              <w:right w:w="100" w:type="dxa"/>
            </w:tcMar>
          </w:tcPr>
          <w:p>
            <w:pPr>
              <w:jc w:val="center"/>
            </w:pPr>
            <w:r>
              <w:rPr>
                <w:sz w:val="20"/>
              </w:rPr>
              <w:t>iv</w:t>
            </w:r>
          </w:p>
        </w:tc>
      </w:tr>
      <w:tr>
        <w:tc>
          <w:tcPr>
            <w:tcW w:type="dxa" w:w="1440"/>
            <w:tcMar>
              <w:top w:w="80" w:type="dxa"/>
              <w:bottom w:w="80" w:type="dxa"/>
              <w:left w:w="100" w:type="dxa"/>
              <w:right w:w="100" w:type="dxa"/>
            </w:tcMar>
          </w:tcPr>
          <w:p>
            <w:pPr>
              <w:jc w:val="center"/>
            </w:pPr>
            <w:r>
              <w:rPr>
                <w:sz w:val="20"/>
              </w:rPr>
              <w:t>4</w:t>
            </w:r>
          </w:p>
        </w:tc>
        <w:tc>
          <w:tcPr>
            <w:tcW w:type="dxa" w:w="6480"/>
            <w:tcMar>
              <w:top w:w="80" w:type="dxa"/>
              <w:bottom w:w="80" w:type="dxa"/>
              <w:left w:w="100" w:type="dxa"/>
              <w:right w:w="100" w:type="dxa"/>
            </w:tcMar>
          </w:tcPr>
          <w:p>
            <w:r>
              <w:rPr>
                <w:b/>
                <w:sz w:val="20"/>
              </w:rPr>
              <w:t>Abstract</w:t>
            </w:r>
          </w:p>
        </w:tc>
        <w:tc>
          <w:tcPr>
            <w:tcW w:type="dxa" w:w="1440"/>
            <w:tcMar>
              <w:top w:w="80" w:type="dxa"/>
              <w:bottom w:w="80" w:type="dxa"/>
              <w:left w:w="100" w:type="dxa"/>
              <w:right w:w="100" w:type="dxa"/>
            </w:tcMar>
          </w:tcPr>
          <w:p>
            <w:pPr>
              <w:jc w:val="center"/>
            </w:pPr>
            <w:r>
              <w:rPr>
                <w:sz w:val="20"/>
              </w:rPr>
              <w:t>v</w:t>
            </w:r>
          </w:p>
        </w:tc>
      </w:tr>
      <w:tr>
        <w:tc>
          <w:tcPr>
            <w:tcW w:type="dxa" w:w="1440"/>
            <w:tcMar>
              <w:top w:w="80" w:type="dxa"/>
              <w:bottom w:w="80" w:type="dxa"/>
              <w:left w:w="100" w:type="dxa"/>
              <w:right w:w="100" w:type="dxa"/>
            </w:tcMar>
          </w:tcPr>
          <w:p>
            <w:pPr>
              <w:jc w:val="center"/>
            </w:pPr>
            <w:r>
              <w:rPr>
                <w:sz w:val="20"/>
              </w:rPr>
              <w:t>5</w:t>
            </w:r>
          </w:p>
        </w:tc>
        <w:tc>
          <w:tcPr>
            <w:tcW w:type="dxa" w:w="6480"/>
            <w:tcMar>
              <w:top w:w="80" w:type="dxa"/>
              <w:bottom w:w="80" w:type="dxa"/>
              <w:left w:w="100" w:type="dxa"/>
              <w:right w:w="100" w:type="dxa"/>
            </w:tcMar>
          </w:tcPr>
          <w:p>
            <w:r>
              <w:rPr>
                <w:sz w:val="20"/>
              </w:rPr>
              <w:t>Chapter 1: Introduction &amp; Mode Taxonomy</w:t>
            </w:r>
          </w:p>
        </w:tc>
        <w:tc>
          <w:tcPr>
            <w:tcW w:type="dxa" w:w="1440"/>
            <w:tcMar>
              <w:top w:w="80" w:type="dxa"/>
              <w:bottom w:w="80" w:type="dxa"/>
              <w:left w:w="100" w:type="dxa"/>
              <w:right w:w="100" w:type="dxa"/>
            </w:tcMar>
          </w:tcPr>
          <w:p>
            <w:pPr>
              <w:jc w:val="center"/>
            </w:pPr>
            <w:r>
              <w:rPr>
                <w:sz w:val="20"/>
              </w:rPr>
              <w:t>1</w:t>
            </w:r>
          </w:p>
        </w:tc>
      </w:tr>
      <w:tr>
        <w:tc>
          <w:tcPr>
            <w:tcW w:type="dxa" w:w="1440"/>
            <w:tcMar>
              <w:top w:w="80" w:type="dxa"/>
              <w:bottom w:w="80" w:type="dxa"/>
              <w:left w:w="100" w:type="dxa"/>
              <w:right w:w="100" w:type="dxa"/>
            </w:tcMar>
          </w:tcPr>
          <w:p>
            <w:pPr>
              <w:jc w:val="center"/>
            </w:pPr>
            <w:r>
              <w:rPr>
                <w:sz w:val="20"/>
              </w:rPr>
              <w:t>6</w:t>
            </w:r>
          </w:p>
        </w:tc>
        <w:tc>
          <w:tcPr>
            <w:tcW w:type="dxa" w:w="6480"/>
            <w:tcMar>
              <w:top w:w="80" w:type="dxa"/>
              <w:bottom w:w="80" w:type="dxa"/>
              <w:left w:w="100" w:type="dxa"/>
              <w:right w:w="100" w:type="dxa"/>
            </w:tcMar>
          </w:tcPr>
          <w:p>
            <w:r>
              <w:rPr>
                <w:sz w:val="20"/>
              </w:rPr>
              <w:t>Chapter 2: Problem Statement &amp; Engineering Focus</w:t>
            </w:r>
          </w:p>
        </w:tc>
        <w:tc>
          <w:tcPr>
            <w:tcW w:type="dxa" w:w="1440"/>
            <w:tcMar>
              <w:top w:w="80" w:type="dxa"/>
              <w:bottom w:w="80" w:type="dxa"/>
              <w:left w:w="100" w:type="dxa"/>
              <w:right w:w="100" w:type="dxa"/>
            </w:tcMar>
          </w:tcPr>
          <w:p>
            <w:pPr>
              <w:jc w:val="center"/>
            </w:pPr>
            <w:r>
              <w:rPr>
                <w:sz w:val="20"/>
              </w:rPr>
              <w:t>3</w:t>
            </w:r>
          </w:p>
        </w:tc>
      </w:tr>
      <w:tr>
        <w:tc>
          <w:tcPr>
            <w:tcW w:type="dxa" w:w="1440"/>
            <w:tcMar>
              <w:top w:w="80" w:type="dxa"/>
              <w:bottom w:w="80" w:type="dxa"/>
              <w:left w:w="100" w:type="dxa"/>
              <w:right w:w="100" w:type="dxa"/>
            </w:tcMar>
          </w:tcPr>
          <w:p>
            <w:pPr>
              <w:jc w:val="center"/>
            </w:pPr>
            <w:r>
              <w:rPr>
                <w:sz w:val="20"/>
              </w:rPr>
              <w:t>7</w:t>
            </w:r>
          </w:p>
        </w:tc>
        <w:tc>
          <w:tcPr>
            <w:tcW w:type="dxa" w:w="6480"/>
            <w:tcMar>
              <w:top w:w="80" w:type="dxa"/>
              <w:bottom w:w="80" w:type="dxa"/>
              <w:left w:w="100" w:type="dxa"/>
              <w:right w:w="100" w:type="dxa"/>
            </w:tcMar>
          </w:tcPr>
          <w:p>
            <w:r>
              <w:rPr>
                <w:sz w:val="20"/>
              </w:rPr>
              <w:t>Chapter 3: Objectives &amp; Foundational Strategy</w:t>
            </w:r>
          </w:p>
        </w:tc>
        <w:tc>
          <w:tcPr>
            <w:tcW w:type="dxa" w:w="1440"/>
            <w:tcMar>
              <w:top w:w="80" w:type="dxa"/>
              <w:bottom w:w="80" w:type="dxa"/>
              <w:left w:w="100" w:type="dxa"/>
              <w:right w:w="100" w:type="dxa"/>
            </w:tcMar>
          </w:tcPr>
          <w:p>
            <w:pPr>
              <w:jc w:val="center"/>
            </w:pPr>
            <w:r>
              <w:rPr>
                <w:sz w:val="20"/>
              </w:rPr>
              <w:t>4</w:t>
            </w:r>
          </w:p>
        </w:tc>
      </w:tr>
      <w:tr>
        <w:tc>
          <w:tcPr>
            <w:tcW w:type="dxa" w:w="1440"/>
            <w:tcMar>
              <w:top w:w="80" w:type="dxa"/>
              <w:bottom w:w="80" w:type="dxa"/>
              <w:left w:w="100" w:type="dxa"/>
              <w:right w:w="100" w:type="dxa"/>
            </w:tcMar>
          </w:tcPr>
          <w:p>
            <w:pPr>
              <w:jc w:val="center"/>
            </w:pPr>
            <w:r>
              <w:rPr>
                <w:sz w:val="20"/>
              </w:rPr>
              <w:t>8</w:t>
            </w:r>
          </w:p>
        </w:tc>
        <w:tc>
          <w:tcPr>
            <w:tcW w:type="dxa" w:w="6480"/>
            <w:tcMar>
              <w:top w:w="80" w:type="dxa"/>
              <w:bottom w:w="80" w:type="dxa"/>
              <w:left w:w="100" w:type="dxa"/>
              <w:right w:w="100" w:type="dxa"/>
            </w:tcMar>
          </w:tcPr>
          <w:p>
            <w:r>
              <w:rPr>
                <w:sz w:val="20"/>
              </w:rPr>
              <w:t>Chapter 4: Existing vs. Proposed System Analysis</w:t>
            </w:r>
          </w:p>
        </w:tc>
        <w:tc>
          <w:tcPr>
            <w:tcW w:type="dxa" w:w="1440"/>
            <w:tcMar>
              <w:top w:w="80" w:type="dxa"/>
              <w:bottom w:w="80" w:type="dxa"/>
              <w:left w:w="100" w:type="dxa"/>
              <w:right w:w="100" w:type="dxa"/>
            </w:tcMar>
          </w:tcPr>
          <w:p>
            <w:pPr>
              <w:jc w:val="center"/>
            </w:pPr>
            <w:r>
              <w:rPr>
                <w:sz w:val="20"/>
              </w:rPr>
              <w:t>5</w:t>
            </w:r>
          </w:p>
        </w:tc>
      </w:tr>
      <w:tr>
        <w:tc>
          <w:tcPr>
            <w:tcW w:type="dxa" w:w="1440"/>
            <w:tcMar>
              <w:top w:w="80" w:type="dxa"/>
              <w:bottom w:w="80" w:type="dxa"/>
              <w:left w:w="100" w:type="dxa"/>
              <w:right w:w="100" w:type="dxa"/>
            </w:tcMar>
          </w:tcPr>
          <w:p>
            <w:pPr>
              <w:jc w:val="center"/>
            </w:pPr>
            <w:r>
              <w:rPr>
                <w:sz w:val="20"/>
              </w:rPr>
              <w:t>9</w:t>
            </w:r>
          </w:p>
        </w:tc>
        <w:tc>
          <w:tcPr>
            <w:tcW w:type="dxa" w:w="6480"/>
            <w:tcMar>
              <w:top w:w="80" w:type="dxa"/>
              <w:bottom w:w="80" w:type="dxa"/>
              <w:left w:w="100" w:type="dxa"/>
              <w:right w:w="100" w:type="dxa"/>
            </w:tcMar>
          </w:tcPr>
          <w:p>
            <w:r>
              <w:rPr>
                <w:sz w:val="20"/>
              </w:rPr>
              <w:t>Chapter 5: Technical Architecture &amp; System Specifications</w:t>
            </w:r>
          </w:p>
        </w:tc>
        <w:tc>
          <w:tcPr>
            <w:tcW w:type="dxa" w:w="1440"/>
            <w:tcMar>
              <w:top w:w="80" w:type="dxa"/>
              <w:bottom w:w="80" w:type="dxa"/>
              <w:left w:w="100" w:type="dxa"/>
              <w:right w:w="100" w:type="dxa"/>
            </w:tcMar>
          </w:tcPr>
          <w:p>
            <w:pPr>
              <w:jc w:val="center"/>
            </w:pPr>
            <w:r>
              <w:rPr>
                <w:sz w:val="20"/>
              </w:rPr>
              <w:t>6</w:t>
            </w:r>
          </w:p>
        </w:tc>
      </w:tr>
      <w:tr>
        <w:tc>
          <w:tcPr>
            <w:tcW w:type="dxa" w:w="1440"/>
            <w:tcMar>
              <w:top w:w="80" w:type="dxa"/>
              <w:bottom w:w="80" w:type="dxa"/>
              <w:left w:w="100" w:type="dxa"/>
              <w:right w:w="100" w:type="dxa"/>
            </w:tcMar>
          </w:tcPr>
          <w:p>
            <w:pPr>
              <w:jc w:val="center"/>
            </w:pPr>
            <w:r>
              <w:rPr>
                <w:sz w:val="20"/>
              </w:rPr>
              <w:t>10</w:t>
            </w:r>
          </w:p>
        </w:tc>
        <w:tc>
          <w:tcPr>
            <w:tcW w:type="dxa" w:w="6480"/>
            <w:tcMar>
              <w:top w:w="80" w:type="dxa"/>
              <w:bottom w:w="80" w:type="dxa"/>
              <w:left w:w="100" w:type="dxa"/>
              <w:right w:w="100" w:type="dxa"/>
            </w:tcMar>
          </w:tcPr>
          <w:p>
            <w:r>
              <w:rPr>
                <w:sz w:val="20"/>
              </w:rPr>
              <w:t>Chapter 6: Working Methodology &amp; Data Flow Blueprints</w:t>
            </w:r>
          </w:p>
        </w:tc>
        <w:tc>
          <w:tcPr>
            <w:tcW w:type="dxa" w:w="1440"/>
            <w:tcMar>
              <w:top w:w="80" w:type="dxa"/>
              <w:bottom w:w="80" w:type="dxa"/>
              <w:left w:w="100" w:type="dxa"/>
              <w:right w:w="100" w:type="dxa"/>
            </w:tcMar>
          </w:tcPr>
          <w:p>
            <w:pPr>
              <w:jc w:val="center"/>
            </w:pPr>
            <w:r>
              <w:rPr>
                <w:sz w:val="20"/>
              </w:rPr>
              <w:t>8</w:t>
            </w:r>
          </w:p>
        </w:tc>
      </w:tr>
      <w:tr>
        <w:tc>
          <w:tcPr>
            <w:tcW w:type="dxa" w:w="1440"/>
            <w:tcMar>
              <w:top w:w="80" w:type="dxa"/>
              <w:bottom w:w="80" w:type="dxa"/>
              <w:left w:w="100" w:type="dxa"/>
              <w:right w:w="100" w:type="dxa"/>
            </w:tcMar>
          </w:tcPr>
          <w:p>
            <w:pPr>
              <w:jc w:val="center"/>
            </w:pPr>
            <w:r>
              <w:rPr>
                <w:sz w:val="20"/>
              </w:rPr>
              <w:t>11</w:t>
            </w:r>
          </w:p>
        </w:tc>
        <w:tc>
          <w:tcPr>
            <w:tcW w:type="dxa" w:w="6480"/>
            <w:tcMar>
              <w:top w:w="80" w:type="dxa"/>
              <w:bottom w:w="80" w:type="dxa"/>
              <w:left w:w="100" w:type="dxa"/>
              <w:right w:w="100" w:type="dxa"/>
            </w:tcMar>
          </w:tcPr>
          <w:p>
            <w:r>
              <w:rPr>
                <w:sz w:val="20"/>
              </w:rPr>
              <w:t>Chapter 7: Granular Module Architecture Descriptions</w:t>
            </w:r>
          </w:p>
        </w:tc>
        <w:tc>
          <w:tcPr>
            <w:tcW w:type="dxa" w:w="1440"/>
            <w:tcMar>
              <w:top w:w="80" w:type="dxa"/>
              <w:bottom w:w="80" w:type="dxa"/>
              <w:left w:w="100" w:type="dxa"/>
              <w:right w:w="100" w:type="dxa"/>
            </w:tcMar>
          </w:tcPr>
          <w:p>
            <w:pPr>
              <w:jc w:val="center"/>
            </w:pPr>
            <w:r>
              <w:rPr>
                <w:sz w:val="20"/>
              </w:rPr>
              <w:t>10</w:t>
            </w:r>
          </w:p>
        </w:tc>
      </w:tr>
      <w:tr>
        <w:tc>
          <w:tcPr>
            <w:tcW w:type="dxa" w:w="1440"/>
            <w:tcMar>
              <w:top w:w="80" w:type="dxa"/>
              <w:bottom w:w="80" w:type="dxa"/>
              <w:left w:w="100" w:type="dxa"/>
              <w:right w:w="100" w:type="dxa"/>
            </w:tcMar>
          </w:tcPr>
          <w:p>
            <w:pPr>
              <w:jc w:val="center"/>
            </w:pPr>
            <w:r>
              <w:rPr>
                <w:sz w:val="20"/>
              </w:rPr>
              <w:t>12</w:t>
            </w:r>
          </w:p>
        </w:tc>
        <w:tc>
          <w:tcPr>
            <w:tcW w:type="dxa" w:w="6480"/>
            <w:tcMar>
              <w:top w:w="80" w:type="dxa"/>
              <w:bottom w:w="80" w:type="dxa"/>
              <w:left w:w="100" w:type="dxa"/>
              <w:right w:w="100" w:type="dxa"/>
            </w:tcMar>
          </w:tcPr>
          <w:p>
            <w:r>
              <w:rPr>
                <w:sz w:val="20"/>
              </w:rPr>
              <w:t>Chapter 8: Verification, Testing Suite &amp; Edge Diagnostics</w:t>
            </w:r>
          </w:p>
        </w:tc>
        <w:tc>
          <w:tcPr>
            <w:tcW w:type="dxa" w:w="1440"/>
            <w:tcMar>
              <w:top w:w="80" w:type="dxa"/>
              <w:bottom w:w="80" w:type="dxa"/>
              <w:left w:w="100" w:type="dxa"/>
              <w:right w:w="100" w:type="dxa"/>
            </w:tcMar>
          </w:tcPr>
          <w:p>
            <w:pPr>
              <w:jc w:val="center"/>
            </w:pPr>
            <w:r>
              <w:rPr>
                <w:sz w:val="20"/>
              </w:rPr>
              <w:t>12</w:t>
            </w:r>
          </w:p>
        </w:tc>
      </w:tr>
      <w:tr>
        <w:tc>
          <w:tcPr>
            <w:tcW w:type="dxa" w:w="1440"/>
            <w:tcMar>
              <w:top w:w="80" w:type="dxa"/>
              <w:bottom w:w="80" w:type="dxa"/>
              <w:left w:w="100" w:type="dxa"/>
              <w:right w:w="100" w:type="dxa"/>
            </w:tcMar>
          </w:tcPr>
          <w:p>
            <w:pPr>
              <w:jc w:val="center"/>
            </w:pPr>
            <w:r>
              <w:rPr>
                <w:sz w:val="20"/>
              </w:rPr>
              <w:t>13</w:t>
            </w:r>
          </w:p>
        </w:tc>
        <w:tc>
          <w:tcPr>
            <w:tcW w:type="dxa" w:w="6480"/>
            <w:tcMar>
              <w:top w:w="80" w:type="dxa"/>
              <w:bottom w:w="80" w:type="dxa"/>
              <w:left w:w="100" w:type="dxa"/>
              <w:right w:w="100" w:type="dxa"/>
            </w:tcMar>
          </w:tcPr>
          <w:p>
            <w:r>
              <w:rPr>
                <w:sz w:val="20"/>
              </w:rPr>
              <w:t>Chapter 9: Project Roadmap &amp; Future Enhancements</w:t>
            </w:r>
          </w:p>
        </w:tc>
        <w:tc>
          <w:tcPr>
            <w:tcW w:type="dxa" w:w="1440"/>
            <w:tcMar>
              <w:top w:w="80" w:type="dxa"/>
              <w:bottom w:w="80" w:type="dxa"/>
              <w:left w:w="100" w:type="dxa"/>
              <w:right w:w="100" w:type="dxa"/>
            </w:tcMar>
          </w:tcPr>
          <w:p>
            <w:pPr>
              <w:jc w:val="center"/>
            </w:pPr>
            <w:r>
              <w:rPr>
                <w:sz w:val="20"/>
              </w:rPr>
              <w:t>14</w:t>
            </w:r>
          </w:p>
        </w:tc>
      </w:tr>
      <w:tr>
        <w:tc>
          <w:tcPr>
            <w:tcW w:type="dxa" w:w="1440"/>
            <w:tcMar>
              <w:top w:w="80" w:type="dxa"/>
              <w:bottom w:w="80" w:type="dxa"/>
              <w:left w:w="100" w:type="dxa"/>
              <w:right w:w="100" w:type="dxa"/>
            </w:tcMar>
          </w:tcPr>
          <w:p>
            <w:pPr>
              <w:jc w:val="center"/>
            </w:pPr>
            <w:r>
              <w:rPr>
                <w:sz w:val="20"/>
              </w:rPr>
              <w:t>14</w:t>
            </w:r>
          </w:p>
        </w:tc>
        <w:tc>
          <w:tcPr>
            <w:tcW w:type="dxa" w:w="6480"/>
            <w:tcMar>
              <w:top w:w="80" w:type="dxa"/>
              <w:bottom w:w="80" w:type="dxa"/>
              <w:left w:w="100" w:type="dxa"/>
              <w:right w:w="100" w:type="dxa"/>
            </w:tcMar>
          </w:tcPr>
          <w:p>
            <w:r>
              <w:rPr>
                <w:sz w:val="20"/>
              </w:rPr>
              <w:t>Chapter 10: Conclusion &amp; Core Research Findings</w:t>
            </w:r>
          </w:p>
        </w:tc>
        <w:tc>
          <w:tcPr>
            <w:tcW w:type="dxa" w:w="1440"/>
            <w:tcMar>
              <w:top w:w="80" w:type="dxa"/>
              <w:bottom w:w="80" w:type="dxa"/>
              <w:left w:w="100" w:type="dxa"/>
              <w:right w:w="100" w:type="dxa"/>
            </w:tcMar>
          </w:tcPr>
          <w:p>
            <w:pPr>
              <w:jc w:val="center"/>
            </w:pPr>
            <w:r>
              <w:rPr>
                <w:sz w:val="20"/>
              </w:rPr>
              <w:t>15</w:t>
            </w:r>
          </w:p>
        </w:tc>
      </w:tr>
      <w:tr>
        <w:tc>
          <w:tcPr>
            <w:tcW w:type="dxa" w:w="1440"/>
            <w:tcMar>
              <w:top w:w="80" w:type="dxa"/>
              <w:bottom w:w="80" w:type="dxa"/>
              <w:left w:w="100" w:type="dxa"/>
              <w:right w:w="100" w:type="dxa"/>
            </w:tcMar>
          </w:tcPr>
          <w:p>
            <w:pPr>
              <w:jc w:val="center"/>
            </w:pPr>
            <w:r>
              <w:rPr>
                <w:sz w:val="20"/>
              </w:rPr>
              <w:t>15</w:t>
            </w:r>
          </w:p>
        </w:tc>
        <w:tc>
          <w:tcPr>
            <w:tcW w:type="dxa" w:w="6480"/>
            <w:tcMar>
              <w:top w:w="80" w:type="dxa"/>
              <w:bottom w:w="80" w:type="dxa"/>
              <w:left w:w="100" w:type="dxa"/>
              <w:right w:w="100" w:type="dxa"/>
            </w:tcMar>
          </w:tcPr>
          <w:p>
            <w:r>
              <w:rPr>
                <w:sz w:val="20"/>
              </w:rPr>
              <w:t>Chapter 11: Technical References &amp; Appendix</w:t>
            </w:r>
          </w:p>
        </w:tc>
        <w:tc>
          <w:tcPr>
            <w:tcW w:type="dxa" w:w="1440"/>
            <w:tcMar>
              <w:top w:w="80" w:type="dxa"/>
              <w:bottom w:w="80" w:type="dxa"/>
              <w:left w:w="100" w:type="dxa"/>
              <w:right w:w="100" w:type="dxa"/>
            </w:tcMar>
          </w:tcPr>
          <w:p>
            <w:pPr>
              <w:jc w:val="center"/>
            </w:pPr>
            <w:r>
              <w:rPr>
                <w:sz w:val="20"/>
              </w:rPr>
              <w:t>16</w:t>
            </w:r>
          </w:p>
        </w:tc>
      </w:tr>
    </w:tbl>
    <w:p>
      <w:r>
        <w:br w:type="page"/>
      </w:r>
    </w:p>
    <w:p>
      <w:pPr>
        <w:keepNext/>
        <w:spacing w:before="480" w:after="240"/>
      </w:pPr>
      <w:r>
        <w:rPr>
          <w:b/>
          <w:color w:val="1A365D"/>
          <w:sz w:val="36"/>
        </w:rPr>
        <w:t>Abstract</w:t>
      </w:r>
    </w:p>
    <w:p>
      <w:pPr>
        <w:spacing w:after="200" w:line="276" w:lineRule="auto"/>
        <w:jc w:val="both"/>
      </w:pPr>
      <w:r>
        <w:rPr>
          <w:sz w:val="22"/>
        </w:rPr>
        <w:t>AI Writer Pro is an advanced, local-first artificial intelligence multi-format document and professional resume generation platform developed using the Python programming runtime, Streamlit UI components, the Ollama localized model daemon, and professional document assembly libraries (python-docx and ReportLab).</w:t>
      </w:r>
    </w:p>
    <w:p>
      <w:pPr>
        <w:spacing w:after="200" w:line="276" w:lineRule="auto"/>
        <w:jc w:val="both"/>
      </w:pPr>
      <w:r>
        <w:rPr>
          <w:sz w:val="22"/>
        </w:rPr>
        <w:t>Traditional AI text tools rely heavily on commercial cloud-managed application programming interfaces (APIs). These pipelines present permanent vulnerabilities to user data privacy, high recurring per-token subscription overheads, and network-bound response latencies. AI Writer Pro isolates these variables by anchoring its entire computational transformer inference engine directly inside the host machine's physical hardware memory canvas via the 3.8-billion parameter phi3:mini architecture model.</w:t>
      </w:r>
    </w:p>
    <w:p>
      <w:pPr>
        <w:spacing w:after="200" w:line="276" w:lineRule="auto"/>
        <w:jc w:val="both"/>
      </w:pPr>
      <w:r>
        <w:rPr>
          <w:sz w:val="22"/>
        </w:rPr>
        <w:t>The platform features context-aware dynamic form mapping, live token cursor streaming presentation loops, and a built-in markdown-to-OpenXML formatting framework. This setup allows users to instantly compile structured corporate reports, ATS-friendly resumes, SEO-optimized blog posts, academic notes, and creative prose into natively styled editable Word (.docx) and portable PDF outputs on demand. The final platform establishes a secure, cost-free, and high-performance workflow designed to maximize documentation productivity while strictly enforcing complete data sovereignty.</w:t>
      </w:r>
    </w:p>
    <w:p>
      <w:r>
        <w:br w:type="page"/>
      </w:r>
    </w:p>
    <w:p>
      <w:pPr>
        <w:keepNext/>
        <w:spacing w:before="480" w:after="240"/>
      </w:pPr>
      <w:r>
        <w:rPr>
          <w:b/>
          <w:color w:val="1A365D"/>
          <w:sz w:val="36"/>
        </w:rPr>
        <w:t>1. Introduction</w:t>
      </w:r>
    </w:p>
    <w:p>
      <w:pPr>
        <w:spacing w:after="200" w:line="276" w:lineRule="auto"/>
        <w:jc w:val="both"/>
      </w:pPr>
      <w:r>
        <w:rPr>
          <w:sz w:val="22"/>
        </w:rPr>
        <w:t>Artificial Intelligence has fundamentally transformed the paradigms of digital content generation, corporate knowledge compilation, and professional resume styling. Traditionally, technical document drafting demands considerable human time, precise semantic structuring, and complex typography configuration. Users must frequently swap between separate drafting editors, formatting layout engines, and validation frameworks to produce professional outputs.</w:t>
      </w:r>
    </w:p>
    <w:p>
      <w:pPr>
        <w:spacing w:after="200" w:line="276" w:lineRule="auto"/>
        <w:jc w:val="both"/>
      </w:pPr>
      <w:r>
        <w:rPr>
          <w:sz w:val="22"/>
        </w:rPr>
        <w:t>AI Writer Pro is built to consolidate these distinct workflows into a single unified local dashboard. By combining high-speed web application layouts with locally hosted Large Language Models (LLMs), the platform automates complex document engineering tasks without risking data leaks. The underlying architecture leverages Python-based flow control to translate real-time model outputs into standardized desktop file layers, ensuring cross-platform readability and industry-ready compliance.</w:t>
      </w:r>
    </w:p>
    <w:p>
      <w:pPr>
        <w:keepNext/>
        <w:spacing w:before="320" w:after="160"/>
      </w:pPr>
      <w:r>
        <w:rPr>
          <w:b/>
          <w:color w:val="2B6CB0"/>
          <w:sz w:val="28"/>
        </w:rPr>
        <w:t>1.1 Document Mode Taxonomy</w:t>
      </w:r>
    </w:p>
    <w:p>
      <w:pPr>
        <w:spacing w:after="200" w:line="276" w:lineRule="auto"/>
        <w:jc w:val="both"/>
      </w:pPr>
      <w:r>
        <w:rPr>
          <w:sz w:val="22"/>
        </w:rPr>
        <w:t>To handle varied user requirements, the platform divides generation profiles into five unique writing modes:</w:t>
      </w:r>
    </w:p>
    <w:p>
      <w:pPr>
        <w:pStyle w:val="ListBullet"/>
        <w:spacing w:after="80"/>
        <w:jc w:val="both"/>
      </w:pPr>
      <w:r>
        <w:rPr>
          <w:sz w:val="22"/>
        </w:rPr>
        <w:t>Corporate &amp; Academic Reports: Formats structural hierarchies featuring Executive Summaries, target findings, analytical matrices, and definitive conclusions.</w:t>
      </w:r>
    </w:p>
    <w:p>
      <w:pPr>
        <w:pStyle w:val="ListBullet"/>
        <w:spacing w:after="80"/>
        <w:jc w:val="both"/>
      </w:pPr>
      <w:r>
        <w:rPr>
          <w:sz w:val="22"/>
        </w:rPr>
        <w:t>ATS-Optimized Resumes: Implements standardized layouts that parse data cleanly into sequential text modules (Skills, Experience, Projects, Education) to maximize applicant tracking algorithm compatibility.</w:t>
      </w:r>
    </w:p>
    <w:p>
      <w:pPr>
        <w:pStyle w:val="ListBullet"/>
        <w:spacing w:after="80"/>
        <w:jc w:val="both"/>
      </w:pPr>
      <w:r>
        <w:rPr>
          <w:sz w:val="22"/>
        </w:rPr>
        <w:t>SEO-Friendly Blogs: Generates catchy headlines, structured subheadings (H2/H3), readable intro hooks, and summary conclusion segments.</w:t>
      </w:r>
    </w:p>
    <w:p>
      <w:pPr>
        <w:pStyle w:val="ListBullet"/>
        <w:spacing w:after="80"/>
        <w:jc w:val="both"/>
      </w:pPr>
      <w:r>
        <w:rPr>
          <w:sz w:val="22"/>
        </w:rPr>
        <w:t>Structured Exam Notes: Isolates definitions, highlights critical technical concepts, and groups notes into scannable key-term sections.</w:t>
      </w:r>
    </w:p>
    <w:p>
      <w:pPr>
        <w:pStyle w:val="ListBullet"/>
        <w:spacing w:after="80"/>
        <w:jc w:val="both"/>
      </w:pPr>
      <w:r>
        <w:rPr>
          <w:sz w:val="22"/>
        </w:rPr>
        <w:t>Creative Narratives: Constructs complex fictional stories with explicit parameters for character name tracking, active plot development, dialogue blocks, and meaningful thematic endings.</w:t>
      </w:r>
    </w:p>
    <w:p>
      <w:r>
        <w:br w:type="page"/>
      </w:r>
    </w:p>
    <w:p>
      <w:pPr>
        <w:keepNext/>
        <w:spacing w:before="480" w:after="240"/>
      </w:pPr>
      <w:r>
        <w:rPr>
          <w:b/>
          <w:color w:val="1A365D"/>
          <w:sz w:val="36"/>
        </w:rPr>
        <w:t>2. Problem Statement</w:t>
      </w:r>
    </w:p>
    <w:p>
      <w:pPr>
        <w:spacing w:after="200" w:line="276" w:lineRule="auto"/>
        <w:jc w:val="both"/>
      </w:pPr>
      <w:r>
        <w:rPr>
          <w:sz w:val="22"/>
        </w:rPr>
        <w:t>Modern document assembly is a major administrative bottleneck for students and professionals alike. Standard cloud-based alternatives like OpenAI's ChatGPT, Claude, or commercial SaaS editors introduce severe operating constraints:</w:t>
      </w:r>
    </w:p>
    <w:p>
      <w:pPr>
        <w:pStyle w:val="ListBullet"/>
        <w:spacing w:after="80"/>
        <w:jc w:val="both"/>
      </w:pPr>
      <w:r>
        <w:rPr>
          <w:sz w:val="22"/>
        </w:rPr>
        <w:t>Data Security &amp; Privacy Vulnerabilities: Passing proprietary corporate reports or personal identification matrices (resumes, emails, telephone numbers) into external cloud servers exposes sensitive data to regulatory risk, training data ingestion, and third-party access leaks.</w:t>
      </w:r>
    </w:p>
    <w:p>
      <w:pPr>
        <w:pStyle w:val="ListBullet"/>
        <w:spacing w:after="80"/>
        <w:jc w:val="both"/>
      </w:pPr>
      <w:r>
        <w:rPr>
          <w:sz w:val="22"/>
        </w:rPr>
        <w:t>Token Pricing Barriers: Accessing fine-tuned generation layouts frequently requires expensive monthly subscriptions or API credit monitoring, making deep academic research cost-prohibitive.</w:t>
      </w:r>
    </w:p>
    <w:p>
      <w:pPr>
        <w:pStyle w:val="ListBullet"/>
        <w:spacing w:after="80"/>
        <w:jc w:val="both"/>
      </w:pPr>
      <w:r>
        <w:rPr>
          <w:sz w:val="22"/>
        </w:rPr>
        <w:t>Network State Dependence: Complete reliance on cloud endpoints means operations stop entirely during remote offline connectivity gaps or server infrastructure downtime.</w:t>
      </w:r>
    </w:p>
    <w:p>
      <w:pPr>
        <w:pStyle w:val="ListBullet"/>
        <w:spacing w:after="80"/>
        <w:jc w:val="both"/>
      </w:pPr>
      <w:r>
        <w:rPr>
          <w:sz w:val="22"/>
        </w:rPr>
        <w:t>Raw Markdown Presentation Scraps: Traditional AI platforms output unstructured text littered with technical formatting backticks (```). This leaves users with the tedious chore of manually copying, cleaning, and re-formatting text inside desktop processors.</w:t>
      </w:r>
    </w:p>
    <w:p>
      <w:pPr>
        <w:keepNext/>
        <w:spacing w:before="480" w:after="240"/>
      </w:pPr>
      <w:r>
        <w:rPr>
          <w:b/>
          <w:color w:val="1A365D"/>
          <w:sz w:val="36"/>
        </w:rPr>
        <w:t>3. Objectives</w:t>
      </w:r>
    </w:p>
    <w:p>
      <w:pPr>
        <w:spacing w:after="200" w:line="276" w:lineRule="auto"/>
        <w:jc w:val="both"/>
      </w:pPr>
      <w:r>
        <w:rPr>
          <w:sz w:val="22"/>
        </w:rPr>
        <w:t>The foundational engineering goals of AI Writer Pro focus on solving these clear workflow flaws through a robust, local-first design strategy:</w:t>
      </w:r>
    </w:p>
    <w:p>
      <w:pPr>
        <w:pStyle w:val="ListBullet"/>
        <w:spacing w:after="80"/>
        <w:jc w:val="both"/>
      </w:pPr>
      <w:r>
        <w:rPr>
          <w:sz w:val="22"/>
        </w:rPr>
        <w:t>Build a localized AI document factory utilizing open-weight parameters (phi3:mini) operating completely within host RAM/VRAM.</w:t>
      </w:r>
    </w:p>
    <w:p>
      <w:pPr>
        <w:pStyle w:val="ListBullet"/>
        <w:spacing w:after="80"/>
        <w:jc w:val="both"/>
      </w:pPr>
      <w:r>
        <w:rPr>
          <w:sz w:val="22"/>
        </w:rPr>
        <w:t>Automate distinct writing workflows—such as compiling complex resumes and structured corporate reports—into predictable layout boundaries via custom-engineered multi-prompt pipelines.</w:t>
      </w:r>
    </w:p>
    <w:p>
      <w:pPr>
        <w:pStyle w:val="ListBullet"/>
        <w:spacing w:after="80"/>
        <w:jc w:val="both"/>
      </w:pPr>
      <w:r>
        <w:rPr>
          <w:sz w:val="22"/>
        </w:rPr>
        <w:t>Design a dynamic backend context collector that alters frontend layout configurations cleanly when shifting between document models.</w:t>
      </w:r>
    </w:p>
    <w:p>
      <w:pPr>
        <w:pStyle w:val="ListBullet"/>
        <w:spacing w:after="80"/>
        <w:jc w:val="both"/>
      </w:pPr>
      <w:r>
        <w:rPr>
          <w:sz w:val="22"/>
        </w:rPr>
        <w:t>Implement real-time token streaming visualization to ensure zero perceived execution lag for the terminal user.</w:t>
      </w:r>
    </w:p>
    <w:p>
      <w:pPr>
        <w:pStyle w:val="ListBullet"/>
        <w:spacing w:after="80"/>
        <w:jc w:val="both"/>
      </w:pPr>
      <w:r>
        <w:rPr>
          <w:sz w:val="22"/>
        </w:rPr>
        <w:t>Program high-fidelity parsing engines using python-docx and ReportLab to convert raw model text directly into styled, error-free Word documents and PDFs on the fly.</w:t>
      </w:r>
    </w:p>
    <w:p>
      <w:r>
        <w:br w:type="page"/>
      </w:r>
    </w:p>
    <w:p>
      <w:pPr>
        <w:keepNext/>
        <w:spacing w:before="480" w:after="240"/>
      </w:pPr>
      <w:r>
        <w:rPr>
          <w:b/>
          <w:color w:val="1A365D"/>
          <w:sz w:val="36"/>
        </w:rPr>
        <w:t>4. Existing vs. Proposed System Analysis</w:t>
      </w:r>
    </w:p>
    <w:p>
      <w:pPr>
        <w:spacing w:after="200" w:line="276" w:lineRule="auto"/>
        <w:jc w:val="both"/>
      </w:pPr>
      <w:r>
        <w:rPr>
          <w:sz w:val="22"/>
        </w:rPr>
        <w:t>An analytical comparison outlines the clear operational improvements brought by the local AI Writer Pro platform architecture:</w:t>
      </w:r>
    </w:p>
    <w:tbl>
      <w:tblPr>
        <w:tblStyle w:val="TableGrid"/>
        <w:tblW w:type="auto" w:w="0"/>
        <w:tblLook w:firstColumn="1" w:firstRow="1" w:lastColumn="0" w:lastRow="0" w:noHBand="0" w:noVBand="1" w:val="04A0"/>
      </w:tblPr>
      <w:tblGrid>
        <w:gridCol w:w="3000"/>
        <w:gridCol w:w="3000"/>
        <w:gridCol w:w="3000"/>
      </w:tblGrid>
      <w:tr>
        <w:tc>
          <w:tcPr>
            <w:tcW w:type="dxa" w:w="2160"/>
            <w:shd w:fill="1A365D"/>
            <w:tcMar>
              <w:top w:w="120" w:type="dxa"/>
              <w:bottom w:w="120" w:type="dxa"/>
              <w:left w:w="120" w:type="dxa"/>
              <w:right w:w="120" w:type="dxa"/>
            </w:tcMar>
          </w:tcPr>
          <w:p>
            <w:r>
              <w:rPr>
                <w:b/>
                <w:color w:val="FFFFFF"/>
                <w:sz w:val="20"/>
              </w:rPr>
              <w:t>Feature Matrix</w:t>
            </w:r>
          </w:p>
        </w:tc>
        <w:tc>
          <w:tcPr>
            <w:tcW w:type="dxa" w:w="3600"/>
            <w:shd w:fill="1A365D"/>
            <w:tcMar>
              <w:top w:w="120" w:type="dxa"/>
              <w:bottom w:w="120" w:type="dxa"/>
              <w:left w:w="120" w:type="dxa"/>
              <w:right w:w="120" w:type="dxa"/>
            </w:tcMar>
          </w:tcPr>
          <w:p>
            <w:r>
              <w:rPr>
                <w:b/>
                <w:color w:val="FFFFFF"/>
                <w:sz w:val="20"/>
              </w:rPr>
              <w:t>Traditional Cloud Systems</w:t>
            </w:r>
          </w:p>
        </w:tc>
        <w:tc>
          <w:tcPr>
            <w:tcW w:type="dxa" w:w="3600"/>
            <w:shd w:fill="1A365D"/>
            <w:tcMar>
              <w:top w:w="120" w:type="dxa"/>
              <w:bottom w:w="120" w:type="dxa"/>
              <w:left w:w="120" w:type="dxa"/>
              <w:right w:w="120" w:type="dxa"/>
            </w:tcMar>
          </w:tcPr>
          <w:p>
            <w:r>
              <w:rPr>
                <w:b/>
                <w:color w:val="FFFFFF"/>
                <w:sz w:val="20"/>
              </w:rPr>
              <w:t>AI Writer Pro Architecture</w:t>
            </w:r>
          </w:p>
        </w:tc>
      </w:tr>
      <w:tr>
        <w:tc>
          <w:tcPr>
            <w:tcW w:type="dxa" w:w="2160"/>
            <w:tcMar>
              <w:top w:w="100" w:type="dxa"/>
              <w:bottom w:w="100" w:type="dxa"/>
              <w:left w:w="100" w:type="dxa"/>
              <w:right w:w="100" w:type="dxa"/>
            </w:tcMar>
          </w:tcPr>
          <w:p>
            <w:r>
              <w:rPr>
                <w:b/>
                <w:sz w:val="19"/>
              </w:rPr>
              <w:t>Data Privacy</w:t>
            </w:r>
          </w:p>
        </w:tc>
        <w:tc>
          <w:tcPr>
            <w:tcW w:type="dxa" w:w="3600"/>
            <w:tcMar>
              <w:top w:w="100" w:type="dxa"/>
              <w:bottom w:w="100" w:type="dxa"/>
              <w:left w:w="100" w:type="dxa"/>
              <w:right w:w="100" w:type="dxa"/>
            </w:tcMar>
          </w:tcPr>
          <w:p>
            <w:r>
              <w:rPr>
                <w:sz w:val="19"/>
              </w:rPr>
              <w:t>Transfers user data over public networks to external servers.</w:t>
            </w:r>
          </w:p>
        </w:tc>
        <w:tc>
          <w:tcPr>
            <w:tcW w:type="dxa" w:w="3600"/>
            <w:tcMar>
              <w:top w:w="100" w:type="dxa"/>
              <w:bottom w:w="100" w:type="dxa"/>
              <w:left w:w="100" w:type="dxa"/>
              <w:right w:w="100" w:type="dxa"/>
            </w:tcMar>
          </w:tcPr>
          <w:p>
            <w:r>
              <w:rPr>
                <w:sz w:val="19"/>
              </w:rPr>
              <w:t>Processes text 100% locally; zero public data transmission.</w:t>
            </w:r>
          </w:p>
        </w:tc>
      </w:tr>
      <w:tr>
        <w:tc>
          <w:tcPr>
            <w:tcW w:type="dxa" w:w="2160"/>
            <w:tcMar>
              <w:top w:w="100" w:type="dxa"/>
              <w:bottom w:w="100" w:type="dxa"/>
              <w:left w:w="100" w:type="dxa"/>
              <w:right w:w="100" w:type="dxa"/>
            </w:tcMar>
          </w:tcPr>
          <w:p>
            <w:r>
              <w:rPr>
                <w:b/>
                <w:sz w:val="19"/>
              </w:rPr>
              <w:t>Operating Cost</w:t>
            </w:r>
          </w:p>
        </w:tc>
        <w:tc>
          <w:tcPr>
            <w:tcW w:type="dxa" w:w="3600"/>
            <w:tcMar>
              <w:top w:w="100" w:type="dxa"/>
              <w:bottom w:w="100" w:type="dxa"/>
              <w:left w:w="100" w:type="dxa"/>
              <w:right w:w="100" w:type="dxa"/>
            </w:tcMar>
          </w:tcPr>
          <w:p>
            <w:r>
              <w:rPr>
                <w:sz w:val="19"/>
              </w:rPr>
              <w:t>Imposes recurring token metrics or premium monthly fees.</w:t>
            </w:r>
          </w:p>
        </w:tc>
        <w:tc>
          <w:tcPr>
            <w:tcW w:type="dxa" w:w="3600"/>
            <w:tcMar>
              <w:top w:w="100" w:type="dxa"/>
              <w:bottom w:w="100" w:type="dxa"/>
              <w:left w:w="100" w:type="dxa"/>
              <w:right w:w="100" w:type="dxa"/>
            </w:tcMar>
          </w:tcPr>
          <w:p>
            <w:r>
              <w:rPr>
                <w:sz w:val="19"/>
              </w:rPr>
              <w:t>Completely open-source and free; utilizes local hardware compute.</w:t>
            </w:r>
          </w:p>
        </w:tc>
      </w:tr>
      <w:tr>
        <w:tc>
          <w:tcPr>
            <w:tcW w:type="dxa" w:w="2160"/>
            <w:tcMar>
              <w:top w:w="100" w:type="dxa"/>
              <w:bottom w:w="100" w:type="dxa"/>
              <w:left w:w="100" w:type="dxa"/>
              <w:right w:w="100" w:type="dxa"/>
            </w:tcMar>
          </w:tcPr>
          <w:p>
            <w:r>
              <w:rPr>
                <w:b/>
                <w:sz w:val="19"/>
              </w:rPr>
              <w:t>Internet Status</w:t>
            </w:r>
          </w:p>
        </w:tc>
        <w:tc>
          <w:tcPr>
            <w:tcW w:type="dxa" w:w="3600"/>
            <w:tcMar>
              <w:top w:w="100" w:type="dxa"/>
              <w:bottom w:w="100" w:type="dxa"/>
              <w:left w:w="100" w:type="dxa"/>
              <w:right w:w="100" w:type="dxa"/>
            </w:tcMar>
          </w:tcPr>
          <w:p>
            <w:r>
              <w:rPr>
                <w:sz w:val="19"/>
              </w:rPr>
              <w:t>Fails completely during network disconnects or downtime.</w:t>
            </w:r>
          </w:p>
        </w:tc>
        <w:tc>
          <w:tcPr>
            <w:tcW w:type="dxa" w:w="3600"/>
            <w:tcMar>
              <w:top w:w="100" w:type="dxa"/>
              <w:bottom w:w="100" w:type="dxa"/>
              <w:left w:w="100" w:type="dxa"/>
              <w:right w:w="100" w:type="dxa"/>
            </w:tcMar>
          </w:tcPr>
          <w:p>
            <w:r>
              <w:rPr>
                <w:sz w:val="19"/>
              </w:rPr>
              <w:t>Functions 100% offline via a local host connection loops.</w:t>
            </w:r>
          </w:p>
        </w:tc>
      </w:tr>
      <w:tr>
        <w:tc>
          <w:tcPr>
            <w:tcW w:type="dxa" w:w="2160"/>
            <w:tcMar>
              <w:top w:w="100" w:type="dxa"/>
              <w:bottom w:w="100" w:type="dxa"/>
              <w:left w:w="100" w:type="dxa"/>
              <w:right w:w="100" w:type="dxa"/>
            </w:tcMar>
          </w:tcPr>
          <w:p>
            <w:r>
              <w:rPr>
                <w:b/>
                <w:sz w:val="19"/>
              </w:rPr>
              <w:t>File Output</w:t>
            </w:r>
          </w:p>
        </w:tc>
        <w:tc>
          <w:tcPr>
            <w:tcW w:type="dxa" w:w="3600"/>
            <w:tcMar>
              <w:top w:w="100" w:type="dxa"/>
              <w:bottom w:w="100" w:type="dxa"/>
              <w:left w:w="100" w:type="dxa"/>
              <w:right w:w="100" w:type="dxa"/>
            </w:tcMar>
          </w:tcPr>
          <w:p>
            <w:r>
              <w:rPr>
                <w:sz w:val="19"/>
              </w:rPr>
              <w:t>Outputs raw text strings with cluttered code blocks.</w:t>
            </w:r>
          </w:p>
        </w:tc>
        <w:tc>
          <w:tcPr>
            <w:tcW w:type="dxa" w:w="3600"/>
            <w:tcMar>
              <w:top w:w="100" w:type="dxa"/>
              <w:bottom w:w="100" w:type="dxa"/>
              <w:left w:w="100" w:type="dxa"/>
              <w:right w:w="100" w:type="dxa"/>
            </w:tcMar>
          </w:tcPr>
          <w:p>
            <w:r>
              <w:rPr>
                <w:sz w:val="19"/>
              </w:rPr>
              <w:t>Automates file compilation directly into styled Word and PDF files.</w:t>
            </w:r>
          </w:p>
        </w:tc>
      </w:tr>
    </w:tbl>
    <w:p>
      <w:r>
        <w:br w:type="page"/>
      </w:r>
    </w:p>
    <w:p>
      <w:pPr>
        <w:keepNext/>
        <w:spacing w:before="480" w:after="240"/>
      </w:pPr>
      <w:r>
        <w:rPr>
          <w:b/>
          <w:color w:val="1A365D"/>
          <w:sz w:val="36"/>
        </w:rPr>
        <w:t>5. Technical Architecture &amp; System Specifications</w:t>
      </w:r>
    </w:p>
    <w:p>
      <w:pPr>
        <w:spacing w:after="200" w:line="276" w:lineRule="auto"/>
        <w:jc w:val="both"/>
      </w:pPr>
      <w:r>
        <w:rPr>
          <w:sz w:val="22"/>
        </w:rPr>
        <w:t>The foundational software layer uses a client-server loop running entirely on local host resources. The system divides operations into separate component blocks to isolate view formatting from generation rules and file writing tasks.</w:t>
      </w:r>
    </w:p>
    <w:p>
      <w:pPr>
        <w:keepNext/>
        <w:spacing w:before="320" w:after="160"/>
      </w:pPr>
      <w:r>
        <w:rPr>
          <w:b/>
          <w:color w:val="2B6CB0"/>
          <w:sz w:val="28"/>
        </w:rPr>
        <w:t>5.1 Hardware &amp; Software Ecosystem Specifications</w:t>
      </w:r>
    </w:p>
    <w:p>
      <w:pPr>
        <w:spacing w:after="200" w:line="276" w:lineRule="auto"/>
        <w:jc w:val="both"/>
      </w:pPr>
      <w:r>
        <w:rPr>
          <w:sz w:val="22"/>
        </w:rPr>
        <w:t>To run local model inference successfully without interface performance lag, your development workspace relies on the following configurations:</w:t>
      </w:r>
    </w:p>
    <w:p>
      <w:pPr>
        <w:pStyle w:val="ListBullet"/>
        <w:spacing w:after="80"/>
        <w:jc w:val="both"/>
      </w:pPr>
      <w:r>
        <w:rPr>
          <w:sz w:val="22"/>
        </w:rPr>
        <w:t>Processor (CPU): Minimum Intel Core i3 or higher. Recommended: Multi-threaded Core i7 or Apple M-Series chips to ensure fast inference speeds.</w:t>
      </w:r>
    </w:p>
    <w:p>
      <w:pPr>
        <w:pStyle w:val="ListBullet"/>
        <w:spacing w:after="80"/>
        <w:jc w:val="both"/>
      </w:pPr>
      <w:r>
        <w:rPr>
          <w:sz w:val="22"/>
        </w:rPr>
        <w:t>System RAM: Minimum 4 GB. Recommended: 16 GB DDR5 allocation to completely hold the model parameter matrices in cache memory.</w:t>
      </w:r>
    </w:p>
    <w:p>
      <w:pPr>
        <w:pStyle w:val="ListBullet"/>
        <w:spacing w:after="80"/>
        <w:jc w:val="both"/>
      </w:pPr>
      <w:r>
        <w:rPr>
          <w:sz w:val="22"/>
        </w:rPr>
        <w:t>Storage Volume: Minimum 2 GB of available space on a solid-state drive (SSD) to store the model binaries safely.</w:t>
      </w:r>
    </w:p>
    <w:p>
      <w:pPr>
        <w:pStyle w:val="ListBullet"/>
        <w:spacing w:after="80"/>
        <w:jc w:val="both"/>
      </w:pPr>
      <w:r>
        <w:rPr>
          <w:sz w:val="22"/>
        </w:rPr>
        <w:t>Python Runtime: Version 3.10 or higher for best cross-library dependency compatibility.</w:t>
      </w:r>
    </w:p>
    <w:p>
      <w:pPr>
        <w:keepNext/>
        <w:spacing w:before="320" w:after="160"/>
      </w:pPr>
      <w:r>
        <w:rPr>
          <w:b/>
          <w:color w:val="2B6CB0"/>
          <w:sz w:val="28"/>
        </w:rPr>
        <w:t>5.2 Library &amp; Dependency Matrix</w:t>
      </w:r>
    </w:p>
    <w:p>
      <w:pPr>
        <w:spacing w:after="200" w:line="276" w:lineRule="auto"/>
        <w:jc w:val="both"/>
      </w:pPr>
      <w:r>
        <w:rPr>
          <w:sz w:val="22"/>
        </w:rPr>
        <w:t>The platform dependencies are pinned in `requirements.txt` to guarantee clean version matching across systems:</w:t>
      </w:r>
    </w:p>
    <w:p>
      <w:pPr>
        <w:pStyle w:val="ListBullet"/>
        <w:spacing w:after="80"/>
        <w:jc w:val="both"/>
      </w:pPr>
      <w:r>
        <w:rPr>
          <w:sz w:val="22"/>
        </w:rPr>
        <w:t>`streamlit&gt;=1.35.0`: Serves as the web platform dashboard framework, providing live layout updates without complex javascript configuration.</w:t>
      </w:r>
    </w:p>
    <w:p>
      <w:pPr>
        <w:pStyle w:val="ListBullet"/>
        <w:spacing w:after="80"/>
        <w:jc w:val="both"/>
      </w:pPr>
      <w:r>
        <w:rPr>
          <w:sz w:val="22"/>
        </w:rPr>
        <w:t>`ollama&gt;=0.2.1`: Manages the background connection engine to pull, initialize, and fetch stream tokens from the model.</w:t>
      </w:r>
    </w:p>
    <w:p>
      <w:pPr>
        <w:pStyle w:val="ListBullet"/>
        <w:spacing w:after="80"/>
        <w:jc w:val="both"/>
      </w:pPr>
      <w:r>
        <w:rPr>
          <w:sz w:val="22"/>
        </w:rPr>
        <w:t>`python-docx&gt;=1.1.2`: Communicates with OpenXML schemas to generate native paragraphs, list tables, and bullet structures inside MS Word files.</w:t>
      </w:r>
    </w:p>
    <w:p>
      <w:pPr>
        <w:pStyle w:val="ListBullet"/>
        <w:spacing w:after="80"/>
        <w:jc w:val="both"/>
      </w:pPr>
      <w:r>
        <w:rPr>
          <w:sz w:val="22"/>
        </w:rPr>
        <w:t>`reportlab&gt;=4.2.0`: Handles flowable layout blocks to build standard PDFs via strict canvas tracking rules.</w:t>
      </w:r>
    </w:p>
    <w:p>
      <w:r>
        <w:br w:type="page"/>
      </w:r>
    </w:p>
    <w:p>
      <w:pPr>
        <w:keepNext/>
        <w:spacing w:before="480" w:after="240"/>
      </w:pPr>
      <w:r>
        <w:rPr>
          <w:b/>
          <w:color w:val="1A365D"/>
          <w:sz w:val="36"/>
        </w:rPr>
        <w:t>6. Working Methodology &amp; Data Flow Blueprints</w:t>
      </w:r>
    </w:p>
    <w:p>
      <w:pPr>
        <w:spacing w:after="200" w:line="276" w:lineRule="auto"/>
        <w:jc w:val="both"/>
      </w:pPr>
      <w:r>
        <w:rPr>
          <w:sz w:val="22"/>
        </w:rPr>
        <w:t>The platform runs sequentially from data capture to text creation and binary building, using background session layers to ensure smooth operation:</w:t>
      </w:r>
    </w:p>
    <w:p>
      <w:pPr>
        <w:keepNext/>
        <w:spacing w:before="320" w:after="160"/>
      </w:pPr>
      <w:r>
        <w:rPr>
          <w:b/>
          <w:color w:val="2B6CB0"/>
          <w:sz w:val="28"/>
        </w:rPr>
        <w:t>6.1 Core System Architecture Diagram</w:t>
      </w:r>
    </w:p>
    <w:p>
      <w:pPr>
        <w:spacing w:before="160" w:after="240"/>
      </w:pPr>
      <w:r>
        <w:rPr>
          <w:rFonts w:ascii="Courier New" w:hAnsi="Courier New"/>
          <w:color w:val="2D3748"/>
          <w:sz w:val="17"/>
        </w:rPr>
        <w:t xml:space="preserve">  +-------------------------------------------------------------+</w:t>
        <w:br/>
        <w:t xml:space="preserve">  |                STREAMLIT FRONTEND USER DASHBOARD            |</w:t>
        <w:br/>
        <w:t xml:space="preserve">  |  [Sidebar Parameters Deck]   |   [Main Canvas Form Injections] |</w:t>
        <w:br/>
        <w:t xml:space="preserve">  +-------------------------------------------------------------+</w:t>
        <w:br/>
        <w:t xml:space="preserve">                                 |</w:t>
        <w:br/>
        <w:t xml:space="preserve">                                 v (Submit Signal / Input Validation Check)</w:t>
        <w:br/>
        <w:t xml:space="preserve">  +-------------------------------------------------------------+</w:t>
        <w:br/>
        <w:t xml:space="preserve">  |               PERSISTENT CONTEXT STATE CONTROLLER           |</w:t>
        <w:br/>
        <w:t xml:space="preserve">  |  - Session State Array Checks (full_text, doc_generated)    |</w:t>
        <w:br/>
        <w:t xml:space="preserve">  |  - Custom Dynamic Instruction Mapping Matrix Builder         |</w:t>
        <w:br/>
        <w:t xml:space="preserve">  +-------------------------------------------------------------+</w:t>
        <w:br/>
        <w:t xml:space="preserve">                                 |</w:t>
        <w:br/>
        <w:t xml:space="preserve">                                 v (Local Socket TCP Loop Port :11434)</w:t>
        <w:br/>
        <w:t xml:space="preserve">  +-------------------------------------------------------------+</w:t>
        <w:br/>
        <w:t xml:space="preserve">  |              OFFLINE COMPUTE INFERENCE ENGINE (OLLAMA)      |</w:t>
        <w:br/>
        <w:t xml:space="preserve">  |  - Base Transformer Weight Architecture: phi3:mini          |</w:t>
        <w:br/>
        <w:t xml:space="preserve">  |  - Chunked Token Sequence Yield Loop Generator              |</w:t>
        <w:br/>
        <w:t xml:space="preserve">  +-------------------------------------------------------------+</w:t>
        <w:br/>
        <w:t xml:space="preserve">                                 |</w:t>
        <w:br/>
        <w:t xml:space="preserve">                                 v (Real-time Fragment Synchronization)</w:t>
        <w:br/>
        <w:t xml:space="preserve">  +-------------------------------------------------------------+</w:t>
        <w:br/>
        <w:t xml:space="preserve">  |               BINARY ASSEMBLY DOCUMENT COMPILER             |</w:t>
        <w:br/>
        <w:t xml:space="preserve">  |  - Text Line Stream Splitter Engine (Token Normalization)   |</w:t>
        <w:br/>
        <w:t xml:space="preserve">  |  +---------------------------+---------------------------+  |</w:t>
        <w:br/>
        <w:t xml:space="preserve">  |  | OpenXML Word Factory      | Flowable PDF Canvas Engine|  |</w:t>
        <w:br/>
        <w:t xml:space="preserve">  |  | (python-docx Paragraphs)  | (ReportLab Escape Vector) |  |</w:t>
        <w:br/>
        <w:t xml:space="preserve">  |  +---------------------------+---------------------------+  |</w:t>
        <w:br/>
        <w:t xml:space="preserve">  +-------------------------------------------------------------+</w:t>
        <w:br/>
        <w:t xml:space="preserve">                                 |</w:t>
        <w:br/>
        <w:t xml:space="preserve">                                 v (System-Level File Output Calls)</w:t>
        <w:br/>
        <w:t xml:space="preserve">  +-------------------------------------------------------------+</w:t>
        <w:br/>
        <w:t xml:space="preserve">  |                 LOCAL DIRECTORY WORKSPACE                   |</w:t>
        <w:br/>
        <w:t xml:space="preserve">  |             [Output_File.docx]   [Output_File.pdf]          |</w:t>
        <w:br/>
        <w:t xml:space="preserve">  +-------------------------------------------------------------+</w:t>
      </w:r>
    </w:p>
    <w:p>
      <w:pPr>
        <w:keepNext/>
        <w:spacing w:before="320" w:after="160"/>
      </w:pPr>
      <w:r>
        <w:rPr>
          <w:b/>
          <w:color w:val="2B6CB0"/>
          <w:sz w:val="28"/>
        </w:rPr>
        <w:t>6.2 Detailed Step-by-Step Operations Flow</w:t>
      </w:r>
    </w:p>
    <w:p>
      <w:pPr>
        <w:pStyle w:val="ListBullet"/>
        <w:spacing w:after="80"/>
        <w:jc w:val="both"/>
      </w:pPr>
      <w:r>
        <w:rPr>
          <w:sz w:val="22"/>
        </w:rPr>
        <w:t>User Configuration Phase: The user inputs structural variables on the sidebar. If the `Resume Builder` profile matches, an automated switch shifts complex forms (Skills, Education, Certifications) cleanly to the center area.</w:t>
      </w:r>
    </w:p>
    <w:p>
      <w:pPr>
        <w:pStyle w:val="ListBullet"/>
        <w:spacing w:after="80"/>
        <w:jc w:val="both"/>
      </w:pPr>
      <w:r>
        <w:rPr>
          <w:sz w:val="22"/>
        </w:rPr>
        <w:t>Dynamic Prompt Engineering Phase: The controller merges active fields, user-defined length limits, and custom structural rules into a comprehensive text prompt block.</w:t>
      </w:r>
    </w:p>
    <w:p>
      <w:pPr>
        <w:pStyle w:val="ListBullet"/>
        <w:spacing w:after="80"/>
        <w:jc w:val="both"/>
      </w:pPr>
      <w:r>
        <w:rPr>
          <w:sz w:val="22"/>
        </w:rPr>
        <w:t>Model Generation Phase: The text block is sent to the local model container. The loop intercept captures word parts asynchronously, flashing updates directly to the web view using a clean loading marker (`▌`).</w:t>
      </w:r>
    </w:p>
    <w:p>
      <w:pPr>
        <w:pStyle w:val="ListBullet"/>
        <w:spacing w:after="80"/>
        <w:jc w:val="both"/>
      </w:pPr>
      <w:r>
        <w:rPr>
          <w:sz w:val="22"/>
        </w:rPr>
        <w:t>Document Building Phase: Once token tracking is complete, the program parses text elements into proper structural elements, adding heading adjustments for Word files and escaping dangerous characters like ampersands for PDFs.</w:t>
      </w:r>
    </w:p>
    <w:p>
      <w:r>
        <w:br w:type="page"/>
      </w:r>
    </w:p>
    <w:p>
      <w:pPr>
        <w:keepNext/>
        <w:spacing w:before="480" w:after="240"/>
      </w:pPr>
      <w:r>
        <w:rPr>
          <w:b/>
          <w:color w:val="1A365D"/>
          <w:sz w:val="36"/>
        </w:rPr>
        <w:t>7. Granular Module Architecture Descriptions</w:t>
      </w:r>
    </w:p>
    <w:p>
      <w:pPr>
        <w:spacing w:after="200" w:line="276" w:lineRule="auto"/>
        <w:jc w:val="both"/>
      </w:pPr>
      <w:r>
        <w:rPr>
          <w:sz w:val="22"/>
        </w:rPr>
        <w:t>The software platform uses a modular design strategy to isolate individual programming tasks. This division ensures that changing interface settings won't impact background model generations or file-writing routines.</w:t>
      </w:r>
    </w:p>
    <w:p>
      <w:pPr>
        <w:keepNext/>
        <w:spacing w:before="320" w:after="160"/>
      </w:pPr>
      <w:r>
        <w:rPr>
          <w:b/>
          <w:color w:val="2B6CB0"/>
          <w:sz w:val="28"/>
        </w:rPr>
        <w:t>7.1 User Interface Module (View Component)</w:t>
      </w:r>
    </w:p>
    <w:p>
      <w:pPr>
        <w:spacing w:after="200" w:line="276" w:lineRule="auto"/>
        <w:jc w:val="both"/>
      </w:pPr>
      <w:r>
        <w:rPr>
          <w:sz w:val="22"/>
        </w:rPr>
        <w:t>Built using Streamlit components to establish an interactive workspace. It sets up the main input sidebar, tracks numerical limits via slider nodes, and handles formatting selectors seamlessly. This module also updates changing layout views instantly when shifting document profiles.</w:t>
      </w:r>
    </w:p>
    <w:p>
      <w:pPr>
        <w:keepNext/>
        <w:spacing w:before="320" w:after="160"/>
      </w:pPr>
      <w:r>
        <w:rPr>
          <w:b/>
          <w:color w:val="2B6CB0"/>
          <w:sz w:val="28"/>
        </w:rPr>
        <w:t>7.2 Prompt Engineering Module (Context Component)</w:t>
      </w:r>
    </w:p>
    <w:p>
      <w:pPr>
        <w:spacing w:after="200" w:line="276" w:lineRule="auto"/>
        <w:jc w:val="both"/>
      </w:pPr>
      <w:r>
        <w:rPr>
          <w:sz w:val="22"/>
        </w:rPr>
        <w:t>Acts as the system translator, matching abstract document modes to functional rules. It maps user inputs to a robust instructions matrix, dynamically modifying guidelines to prevent the local model from returning cluttered code fences.</w:t>
      </w:r>
    </w:p>
    <w:p>
      <w:pPr>
        <w:keepNext/>
        <w:spacing w:before="320" w:after="160"/>
      </w:pPr>
      <w:r>
        <w:rPr>
          <w:b/>
          <w:color w:val="2B6CB0"/>
          <w:sz w:val="28"/>
        </w:rPr>
        <w:t>7.3 Local Inference Processing Module (AI Engine)</w:t>
      </w:r>
    </w:p>
    <w:p>
      <w:pPr>
        <w:spacing w:after="200" w:line="276" w:lineRule="auto"/>
        <w:jc w:val="both"/>
      </w:pPr>
      <w:r>
        <w:rPr>
          <w:sz w:val="22"/>
        </w:rPr>
        <w:t>Manages background sockets to execute model actions offline. It handles connection paths to `localhost:11434`, opens real-time generation streams, and loops through data packets to feed text fragments to the dashboard.</w:t>
      </w:r>
    </w:p>
    <w:p>
      <w:pPr>
        <w:keepNext/>
        <w:spacing w:before="320" w:after="160"/>
      </w:pPr>
      <w:r>
        <w:rPr>
          <w:b/>
          <w:color w:val="2B6CB0"/>
          <w:sz w:val="28"/>
        </w:rPr>
        <w:t>7.4 OpenXML Formatting Factory Module (DOCX Export)</w:t>
      </w:r>
    </w:p>
    <w:p>
      <w:pPr>
        <w:spacing w:after="200" w:line="276" w:lineRule="auto"/>
        <w:jc w:val="both"/>
      </w:pPr>
      <w:r>
        <w:rPr>
          <w:sz w:val="22"/>
        </w:rPr>
        <w:t>Utilizes `python-docx` tools to build formatted Word files. It checks line elements, maps markdown indicators (`#`) to proper heading nodes, translates dash marks (`-`) into bullet structures, and packages everything into an editable document container.</w:t>
      </w:r>
    </w:p>
    <w:p>
      <w:pPr>
        <w:keepNext/>
        <w:spacing w:before="320" w:after="160"/>
      </w:pPr>
      <w:r>
        <w:rPr>
          <w:b/>
          <w:color w:val="2B6CB0"/>
          <w:sz w:val="28"/>
        </w:rPr>
        <w:t>7.5 PDF Flowable Canvas Module (PDF Export)</w:t>
      </w:r>
    </w:p>
    <w:p>
      <w:pPr>
        <w:spacing w:after="200" w:line="276" w:lineRule="auto"/>
        <w:jc w:val="both"/>
      </w:pPr>
      <w:r>
        <w:rPr>
          <w:sz w:val="22"/>
        </w:rPr>
        <w:t>Leverages ReportLab layout rules to produce print-ready document vectors. It handles margins, applies paragraph style matrices, and wraps raw string streams securely by converting unescaped characters into clean layout entities.</w:t>
      </w:r>
    </w:p>
    <w:p>
      <w:r>
        <w:br w:type="page"/>
      </w:r>
    </w:p>
    <w:p>
      <w:pPr>
        <w:keepNext/>
        <w:spacing w:before="480" w:after="240"/>
      </w:pPr>
      <w:r>
        <w:rPr>
          <w:b/>
          <w:color w:val="1A365D"/>
          <w:sz w:val="36"/>
        </w:rPr>
        <w:t>8. Verification, Testing Suite &amp; Edge Diagnostics</w:t>
      </w:r>
    </w:p>
    <w:p>
      <w:pPr>
        <w:spacing w:after="200" w:line="276" w:lineRule="auto"/>
        <w:jc w:val="both"/>
      </w:pPr>
      <w:r>
        <w:rPr>
          <w:sz w:val="22"/>
        </w:rPr>
        <w:t>To ensure total software reliability across varied system platforms, the infrastructure underwent thorough unit and integration testing routines:</w:t>
      </w:r>
    </w:p>
    <w:p>
      <w:pPr>
        <w:keepNext/>
        <w:spacing w:before="320" w:after="160"/>
      </w:pPr>
      <w:r>
        <w:rPr>
          <w:b/>
          <w:color w:val="2B6CB0"/>
          <w:sz w:val="28"/>
        </w:rPr>
        <w:t>8.1 Core Functional Testing Matrix</w:t>
      </w:r>
    </w:p>
    <w:tbl>
      <w:tblPr>
        <w:tblStyle w:val="TableGrid"/>
        <w:tblW w:type="auto" w:w="0"/>
        <w:tblLook w:firstColumn="1" w:firstRow="1" w:lastColumn="0" w:lastRow="0" w:noHBand="0" w:noVBand="1" w:val="04A0"/>
      </w:tblPr>
      <w:tblGrid>
        <w:gridCol w:w="3000"/>
        <w:gridCol w:w="3000"/>
        <w:gridCol w:w="3000"/>
      </w:tblGrid>
      <w:tr>
        <w:tc>
          <w:tcPr>
            <w:tcW w:type="dxa" w:w="2160"/>
            <w:shd w:fill="2B6CB0"/>
            <w:tcMar>
              <w:top w:w="120" w:type="dxa"/>
              <w:bottom w:w="120" w:type="dxa"/>
              <w:left w:w="120" w:type="dxa"/>
              <w:right w:w="120" w:type="dxa"/>
            </w:tcMar>
          </w:tcPr>
          <w:p>
            <w:r>
              <w:rPr>
                <w:b/>
                <w:color w:val="FFFFFF"/>
                <w:sz w:val="20"/>
              </w:rPr>
              <w:t>Test Module Ref</w:t>
            </w:r>
          </w:p>
        </w:tc>
        <w:tc>
          <w:tcPr>
            <w:tcW w:type="dxa" w:w="5040"/>
            <w:shd w:fill="2B6CB0"/>
            <w:tcMar>
              <w:top w:w="120" w:type="dxa"/>
              <w:bottom w:w="120" w:type="dxa"/>
              <w:left w:w="120" w:type="dxa"/>
              <w:right w:w="120" w:type="dxa"/>
            </w:tcMar>
          </w:tcPr>
          <w:p>
            <w:r>
              <w:rPr>
                <w:b/>
                <w:color w:val="FFFFFF"/>
                <w:sz w:val="20"/>
              </w:rPr>
              <w:t>Target Scope &amp; Input Metric</w:t>
            </w:r>
          </w:p>
        </w:tc>
        <w:tc>
          <w:tcPr>
            <w:tcW w:type="dxa" w:w="2160"/>
            <w:shd w:fill="2B6CB0"/>
            <w:tcMar>
              <w:top w:w="120" w:type="dxa"/>
              <w:bottom w:w="120" w:type="dxa"/>
              <w:left w:w="120" w:type="dxa"/>
              <w:right w:w="120" w:type="dxa"/>
            </w:tcMar>
          </w:tcPr>
          <w:p>
            <w:r>
              <w:rPr>
                <w:b/>
                <w:color w:val="FFFFFF"/>
                <w:sz w:val="20"/>
              </w:rPr>
              <w:t>Execution Status</w:t>
            </w:r>
          </w:p>
        </w:tc>
      </w:tr>
      <w:tr>
        <w:tc>
          <w:tcPr>
            <w:tcW w:type="dxa" w:w="2160"/>
            <w:tcMar>
              <w:top w:w="100" w:type="dxa"/>
              <w:bottom w:w="100" w:type="dxa"/>
              <w:left w:w="100" w:type="dxa"/>
              <w:right w:w="100" w:type="dxa"/>
            </w:tcMar>
          </w:tcPr>
          <w:p>
            <w:r>
              <w:rPr>
                <w:b/>
                <w:sz w:val="19"/>
              </w:rPr>
              <w:t>TC-REP-001</w:t>
            </w:r>
          </w:p>
        </w:tc>
        <w:tc>
          <w:tcPr>
            <w:tcW w:type="dxa" w:w="5040"/>
            <w:tcMar>
              <w:top w:w="100" w:type="dxa"/>
              <w:bottom w:w="100" w:type="dxa"/>
              <w:left w:w="100" w:type="dxa"/>
              <w:right w:w="100" w:type="dxa"/>
            </w:tcMar>
          </w:tcPr>
          <w:p>
            <w:r>
              <w:rPr>
                <w:sz w:val="19"/>
              </w:rPr>
              <w:t>Verify Corporate Report compiling structure and section sorting.</w:t>
            </w:r>
          </w:p>
        </w:tc>
        <w:tc>
          <w:tcPr>
            <w:tcW w:type="dxa" w:w="2160"/>
            <w:tcMar>
              <w:top w:w="100" w:type="dxa"/>
              <w:bottom w:w="100" w:type="dxa"/>
              <w:left w:w="100" w:type="dxa"/>
              <w:right w:w="100" w:type="dxa"/>
            </w:tcMar>
          </w:tcPr>
          <w:p>
            <w:pPr>
              <w:jc w:val="center"/>
            </w:pPr>
            <w:r>
              <w:rPr>
                <w:sz w:val="19"/>
              </w:rPr>
              <w:t>PASSED ✅</w:t>
            </w:r>
          </w:p>
        </w:tc>
      </w:tr>
      <w:tr>
        <w:tc>
          <w:tcPr>
            <w:tcW w:type="dxa" w:w="2160"/>
            <w:tcMar>
              <w:top w:w="100" w:type="dxa"/>
              <w:bottom w:w="100" w:type="dxa"/>
              <w:left w:w="100" w:type="dxa"/>
              <w:right w:w="100" w:type="dxa"/>
            </w:tcMar>
          </w:tcPr>
          <w:p>
            <w:r>
              <w:rPr>
                <w:b/>
                <w:sz w:val="19"/>
              </w:rPr>
              <w:t>TC-RES-002</w:t>
            </w:r>
          </w:p>
        </w:tc>
        <w:tc>
          <w:tcPr>
            <w:tcW w:type="dxa" w:w="5040"/>
            <w:tcMar>
              <w:top w:w="100" w:type="dxa"/>
              <w:bottom w:w="100" w:type="dxa"/>
              <w:left w:w="100" w:type="dxa"/>
              <w:right w:w="100" w:type="dxa"/>
            </w:tcMar>
          </w:tcPr>
          <w:p>
            <w:r>
              <w:rPr>
                <w:sz w:val="19"/>
              </w:rPr>
              <w:t>Validate ATS Resume dynamic form generation and main canvas loading.</w:t>
            </w:r>
          </w:p>
        </w:tc>
        <w:tc>
          <w:tcPr>
            <w:tcW w:type="dxa" w:w="2160"/>
            <w:tcMar>
              <w:top w:w="100" w:type="dxa"/>
              <w:bottom w:w="100" w:type="dxa"/>
              <w:left w:w="100" w:type="dxa"/>
              <w:right w:w="100" w:type="dxa"/>
            </w:tcMar>
          </w:tcPr>
          <w:p>
            <w:pPr>
              <w:jc w:val="center"/>
            </w:pPr>
            <w:r>
              <w:rPr>
                <w:sz w:val="19"/>
              </w:rPr>
              <w:t>PASSED ✅</w:t>
            </w:r>
          </w:p>
        </w:tc>
      </w:tr>
      <w:tr>
        <w:tc>
          <w:tcPr>
            <w:tcW w:type="dxa" w:w="2160"/>
            <w:tcMar>
              <w:top w:w="100" w:type="dxa"/>
              <w:bottom w:w="100" w:type="dxa"/>
              <w:left w:w="100" w:type="dxa"/>
              <w:right w:w="100" w:type="dxa"/>
            </w:tcMar>
          </w:tcPr>
          <w:p>
            <w:r>
              <w:rPr>
                <w:b/>
                <w:sz w:val="19"/>
              </w:rPr>
              <w:t>TC-STR-003</w:t>
            </w:r>
          </w:p>
        </w:tc>
        <w:tc>
          <w:tcPr>
            <w:tcW w:type="dxa" w:w="5040"/>
            <w:tcMar>
              <w:top w:w="100" w:type="dxa"/>
              <w:bottom w:w="100" w:type="dxa"/>
              <w:left w:w="100" w:type="dxa"/>
              <w:right w:w="100" w:type="dxa"/>
            </w:tcMar>
          </w:tcPr>
          <w:p>
            <w:r>
              <w:rPr>
                <w:sz w:val="19"/>
              </w:rPr>
              <w:t>Check asynchronous streaming token delivery under high compute loads.</w:t>
            </w:r>
          </w:p>
        </w:tc>
        <w:tc>
          <w:tcPr>
            <w:tcW w:type="dxa" w:w="2160"/>
            <w:tcMar>
              <w:top w:w="100" w:type="dxa"/>
              <w:bottom w:w="100" w:type="dxa"/>
              <w:left w:w="100" w:type="dxa"/>
              <w:right w:w="100" w:type="dxa"/>
            </w:tcMar>
          </w:tcPr>
          <w:p>
            <w:pPr>
              <w:jc w:val="center"/>
            </w:pPr>
            <w:r>
              <w:rPr>
                <w:sz w:val="19"/>
              </w:rPr>
              <w:t>PASSED ✅</w:t>
            </w:r>
          </w:p>
        </w:tc>
      </w:tr>
      <w:tr>
        <w:tc>
          <w:tcPr>
            <w:tcW w:type="dxa" w:w="2160"/>
            <w:tcMar>
              <w:top w:w="100" w:type="dxa"/>
              <w:bottom w:w="100" w:type="dxa"/>
              <w:left w:w="100" w:type="dxa"/>
              <w:right w:w="100" w:type="dxa"/>
            </w:tcMar>
          </w:tcPr>
          <w:p>
            <w:r>
              <w:rPr>
                <w:b/>
                <w:sz w:val="19"/>
              </w:rPr>
              <w:t>TC-WRD-004</w:t>
            </w:r>
          </w:p>
        </w:tc>
        <w:tc>
          <w:tcPr>
            <w:tcW w:type="dxa" w:w="5040"/>
            <w:tcMar>
              <w:top w:w="100" w:type="dxa"/>
              <w:bottom w:w="100" w:type="dxa"/>
              <w:left w:w="100" w:type="dxa"/>
              <w:right w:w="100" w:type="dxa"/>
            </w:tcMar>
          </w:tcPr>
          <w:p>
            <w:r>
              <w:rPr>
                <w:sz w:val="19"/>
              </w:rPr>
              <w:t>Test OpenXML heading translation loop for lines beginning with hashes.</w:t>
            </w:r>
          </w:p>
        </w:tc>
        <w:tc>
          <w:tcPr>
            <w:tcW w:type="dxa" w:w="2160"/>
            <w:tcMar>
              <w:top w:w="100" w:type="dxa"/>
              <w:bottom w:w="100" w:type="dxa"/>
              <w:left w:w="100" w:type="dxa"/>
              <w:right w:w="100" w:type="dxa"/>
            </w:tcMar>
          </w:tcPr>
          <w:p>
            <w:pPr>
              <w:jc w:val="center"/>
            </w:pPr>
            <w:r>
              <w:rPr>
                <w:sz w:val="19"/>
              </w:rPr>
              <w:t>PASSED ✅</w:t>
            </w:r>
          </w:p>
        </w:tc>
      </w:tr>
      <w:tr>
        <w:tc>
          <w:tcPr>
            <w:tcW w:type="dxa" w:w="2160"/>
            <w:tcMar>
              <w:top w:w="100" w:type="dxa"/>
              <w:bottom w:w="100" w:type="dxa"/>
              <w:left w:w="100" w:type="dxa"/>
              <w:right w:w="100" w:type="dxa"/>
            </w:tcMar>
          </w:tcPr>
          <w:p>
            <w:r>
              <w:rPr>
                <w:b/>
                <w:sz w:val="19"/>
              </w:rPr>
              <w:t>TC-PDF-005</w:t>
            </w:r>
          </w:p>
        </w:tc>
        <w:tc>
          <w:tcPr>
            <w:tcW w:type="dxa" w:w="5040"/>
            <w:tcMar>
              <w:top w:w="100" w:type="dxa"/>
              <w:bottom w:w="100" w:type="dxa"/>
              <w:left w:w="100" w:type="dxa"/>
              <w:right w:w="100" w:type="dxa"/>
            </w:tcMar>
          </w:tcPr>
          <w:p>
            <w:r>
              <w:rPr>
                <w:sz w:val="19"/>
              </w:rPr>
              <w:t>Check character entity translation limits for symbols like ampersands.</w:t>
            </w:r>
          </w:p>
        </w:tc>
        <w:tc>
          <w:tcPr>
            <w:tcW w:type="dxa" w:w="2160"/>
            <w:tcMar>
              <w:top w:w="100" w:type="dxa"/>
              <w:bottom w:w="100" w:type="dxa"/>
              <w:left w:w="100" w:type="dxa"/>
              <w:right w:w="100" w:type="dxa"/>
            </w:tcMar>
          </w:tcPr>
          <w:p>
            <w:pPr>
              <w:jc w:val="center"/>
            </w:pPr>
            <w:r>
              <w:rPr>
                <w:sz w:val="19"/>
              </w:rPr>
              <w:t>PASSED ✅</w:t>
            </w:r>
          </w:p>
        </w:tc>
      </w:tr>
      <w:tr>
        <w:tc>
          <w:tcPr>
            <w:tcW w:type="dxa" w:w="2160"/>
            <w:tcMar>
              <w:top w:w="100" w:type="dxa"/>
              <w:bottom w:w="100" w:type="dxa"/>
              <w:left w:w="100" w:type="dxa"/>
              <w:right w:w="100" w:type="dxa"/>
            </w:tcMar>
          </w:tcPr>
          <w:p>
            <w:r>
              <w:rPr>
                <w:b/>
                <w:sz w:val="19"/>
              </w:rPr>
              <w:t>TC-TON-006</w:t>
            </w:r>
          </w:p>
        </w:tc>
        <w:tc>
          <w:tcPr>
            <w:tcW w:type="dxa" w:w="5040"/>
            <w:tcMar>
              <w:top w:w="100" w:type="dxa"/>
              <w:bottom w:w="100" w:type="dxa"/>
              <w:left w:w="100" w:type="dxa"/>
              <w:right w:w="100" w:type="dxa"/>
            </w:tcMar>
          </w:tcPr>
          <w:p>
            <w:r>
              <w:rPr>
                <w:sz w:val="19"/>
              </w:rPr>
              <w:t>Verify tone modification impact on model output metrics.</w:t>
            </w:r>
          </w:p>
        </w:tc>
        <w:tc>
          <w:tcPr>
            <w:tcW w:type="dxa" w:w="2160"/>
            <w:tcMar>
              <w:top w:w="100" w:type="dxa"/>
              <w:bottom w:w="100" w:type="dxa"/>
              <w:left w:w="100" w:type="dxa"/>
              <w:right w:w="100" w:type="dxa"/>
            </w:tcMar>
          </w:tcPr>
          <w:p>
            <w:pPr>
              <w:jc w:val="center"/>
            </w:pPr>
            <w:r>
              <w:rPr>
                <w:sz w:val="19"/>
              </w:rPr>
              <w:t>PASSED ✅</w:t>
            </w:r>
          </w:p>
        </w:tc>
      </w:tr>
    </w:tbl>
    <w:p>
      <w:pPr>
        <w:keepNext/>
        <w:spacing w:before="320" w:after="160"/>
      </w:pPr>
      <w:r>
        <w:rPr>
          <w:b/>
          <w:color w:val="2B6CB0"/>
          <w:sz w:val="28"/>
        </w:rPr>
        <w:t>8.2 Critical Bug Mitigation Strategy</w:t>
      </w:r>
    </w:p>
    <w:p>
      <w:pPr>
        <w:spacing w:after="200" w:line="276" w:lineRule="auto"/>
        <w:jc w:val="both"/>
      </w:pPr>
      <w:r>
        <w:rPr>
          <w:sz w:val="22"/>
        </w:rPr>
        <w:t>During development, testing highlighted two foundational bugs that could crash the platform loop. These were resolved cleanly in later framework updates:</w:t>
      </w:r>
    </w:p>
    <w:p>
      <w:pPr>
        <w:pStyle w:val="ListBullet"/>
        <w:spacing w:after="80"/>
        <w:jc w:val="both"/>
      </w:pPr>
      <w:r>
        <w:rPr>
          <w:sz w:val="22"/>
        </w:rPr>
        <w:t>The Streamlit Reload Reset: Standard Streamlit buttons force code reloads on every click. Moving download buttons inside the generation block caused export selectors to vanish during download clicks. This was fixed by locking values into a background state container (`st.session_state`), keeping tools accessible.</w:t>
      </w:r>
    </w:p>
    <w:p>
      <w:pPr>
        <w:pStyle w:val="ListBullet"/>
        <w:spacing w:after="80"/>
        <w:jc w:val="both"/>
      </w:pPr>
      <w:r>
        <w:rPr>
          <w:sz w:val="22"/>
        </w:rPr>
        <w:t>XML Entity Parsing Crashes: ReportLab processes strings using rigid web-like guidelines. If a user generated text containing technical symbols like `&amp;` or `&lt;`, the layout engine would fail instantly. Adding conversion routines to map characters safely into entities like `&amp;amp;` and `&amp;lt;` eliminated formatting crashes entirely.</w:t>
      </w:r>
    </w:p>
    <w:p>
      <w:r>
        <w:br w:type="page"/>
      </w:r>
    </w:p>
    <w:p>
      <w:pPr>
        <w:keepNext/>
        <w:spacing w:before="480" w:after="240"/>
      </w:pPr>
      <w:r>
        <w:rPr>
          <w:b/>
          <w:color w:val="1A365D"/>
          <w:sz w:val="36"/>
        </w:rPr>
        <w:t>9. Project Roadmap &amp; Future Enhancements</w:t>
      </w:r>
    </w:p>
    <w:p>
      <w:pPr>
        <w:spacing w:after="200" w:line="276" w:lineRule="auto"/>
        <w:jc w:val="both"/>
      </w:pPr>
      <w:r>
        <w:rPr>
          <w:sz w:val="22"/>
        </w:rPr>
        <w:t>While Version 1.0.0 meets all core technical requirements, the system is built with expansion in mind to support deeper intelligence additions later:</w:t>
      </w:r>
    </w:p>
    <w:p>
      <w:pPr>
        <w:pStyle w:val="ListBullet"/>
        <w:spacing w:after="80"/>
        <w:jc w:val="both"/>
      </w:pPr>
      <w:r>
        <w:rPr>
          <w:sz w:val="22"/>
        </w:rPr>
        <w:t>Retrieval-Augmented Generation (RAG): Integrating localized vector hubs (like ChromaDB) to allow users to pull data from their own reference PDFs and research sheets safely offline.</w:t>
      </w:r>
    </w:p>
    <w:p>
      <w:pPr>
        <w:pStyle w:val="ListBullet"/>
        <w:spacing w:after="80"/>
        <w:jc w:val="both"/>
      </w:pPr>
      <w:r>
        <w:rPr>
          <w:sz w:val="22"/>
        </w:rPr>
        <w:t>Automated Grammar &amp; Syntax Checking: Building offline language review blocks into flow loops to check text layouts against structural rules automatically.</w:t>
      </w:r>
    </w:p>
    <w:p>
      <w:pPr>
        <w:pStyle w:val="ListBullet"/>
        <w:spacing w:after="80"/>
        <w:jc w:val="both"/>
      </w:pPr>
      <w:r>
        <w:rPr>
          <w:sz w:val="22"/>
        </w:rPr>
        <w:t>Custom OpenXML Template Support: Enhancing word processing modules to let users upload existing corporate documents, matching color schemes, tracking stamps, and headers automatically.</w:t>
      </w:r>
    </w:p>
    <w:p>
      <w:pPr>
        <w:pStyle w:val="ListBullet"/>
        <w:spacing w:after="80"/>
        <w:jc w:val="both"/>
      </w:pPr>
      <w:r>
        <w:rPr>
          <w:sz w:val="22"/>
        </w:rPr>
        <w:t>Plagiarism &amp; Verification Modules: Adding localized cryptographic hash checking systems to ensure document uniqueness before exporting.</w:t>
      </w:r>
    </w:p>
    <w:p>
      <w:pPr>
        <w:keepNext/>
        <w:spacing w:before="480" w:after="240"/>
      </w:pPr>
      <w:r>
        <w:rPr>
          <w:b/>
          <w:color w:val="1A365D"/>
          <w:sz w:val="36"/>
        </w:rPr>
        <w:t>10. Conclusion &amp; Core Research Findings</w:t>
      </w:r>
    </w:p>
    <w:p>
      <w:pPr>
        <w:spacing w:after="200" w:line="276" w:lineRule="auto"/>
        <w:jc w:val="both"/>
      </w:pPr>
      <w:r>
        <w:rPr>
          <w:sz w:val="22"/>
        </w:rPr>
        <w:t>AI Writer Pro successfully demonstrates a reliable, secure approach to localized document engineering. By combining fast user interface libraries with self-hosted AI execution layers, the platform streamlines document building while ensuring total data sovereignty.</w:t>
      </w:r>
    </w:p>
    <w:p>
      <w:pPr>
        <w:spacing w:after="200" w:line="276" w:lineRule="auto"/>
        <w:jc w:val="both"/>
      </w:pPr>
      <w:r>
        <w:rPr>
          <w:sz w:val="22"/>
        </w:rPr>
        <w:t>The final software system solves common cloud platform issues, including recurring token costs, data security concerns, and network dependence. By automating parsing from raw text streams directly into clean Word and PDF files, it removes the need for tedious manual cleanup. Ultimately, the platform provides a scalable foundation for local AI tool design, showcasing how modern web applications can balance high security with exceptional output quality.</w:t>
      </w:r>
    </w:p>
    <w:p>
      <w:pPr>
        <w:keepNext/>
        <w:spacing w:before="480" w:after="240"/>
      </w:pPr>
      <w:r>
        <w:rPr>
          <w:b/>
          <w:color w:val="1A365D"/>
          <w:sz w:val="36"/>
        </w:rPr>
        <w:t>11. Technical References &amp; Appendix</w:t>
      </w:r>
    </w:p>
    <w:p>
      <w:pPr>
        <w:pStyle w:val="ListBullet"/>
        <w:spacing w:after="80"/>
        <w:jc w:val="both"/>
      </w:pPr>
      <w:r>
        <w:rPr>
          <w:sz w:val="22"/>
        </w:rPr>
        <w:t>Python Software Foundation. (2026). Python Language Language Core Documentation. Retrieved from https://docs.python.org/</w:t>
      </w:r>
    </w:p>
    <w:p>
      <w:pPr>
        <w:pStyle w:val="ListBullet"/>
        <w:spacing w:after="80"/>
        <w:jc w:val="both"/>
      </w:pPr>
      <w:r>
        <w:rPr>
          <w:sz w:val="22"/>
        </w:rPr>
        <w:t>Pallets Projects Framework. (2026). Flask Web Architecture Routing Guidelines. Retrieved from https://flask.palletsprojects.com/</w:t>
      </w:r>
    </w:p>
    <w:p>
      <w:pPr>
        <w:pStyle w:val="ListBullet"/>
        <w:spacing w:after="80"/>
        <w:jc w:val="both"/>
      </w:pPr>
      <w:r>
        <w:rPr>
          <w:sz w:val="22"/>
        </w:rPr>
        <w:t>Streamlit Open Source Community. (2026). Dashboard Layout System Reference Manual. Retrieved from https://docs.streamlit.io/</w:t>
      </w:r>
    </w:p>
    <w:p>
      <w:pPr>
        <w:pStyle w:val="ListBullet"/>
        <w:spacing w:after="80"/>
        <w:jc w:val="both"/>
      </w:pPr>
      <w:r>
        <w:rPr>
          <w:sz w:val="22"/>
        </w:rPr>
        <w:t>Ollama Project Architecture. (2026). Local Model Interface and Daemon APIs. Retrieved from https://ollama.com/library</w:t>
      </w:r>
    </w:p>
    <w:p>
      <w:pPr>
        <w:pStyle w:val="ListBullet"/>
        <w:spacing w:after="80"/>
        <w:jc w:val="both"/>
      </w:pPr>
      <w:r>
        <w:rPr>
          <w:sz w:val="22"/>
        </w:rPr>
        <w:t>OpenXML Standards Consortium. (2025). Word Document Processing Engine Guidelines via Python-Docx. Retrieved from https://python-docx.readthedocs.io/</w:t>
      </w:r>
    </w:p>
    <w:p>
      <w:pPr>
        <w:pStyle w:val="ListBullet"/>
        <w:spacing w:after="80"/>
        <w:jc w:val="both"/>
      </w:pPr>
      <w:r>
        <w:rPr>
          <w:sz w:val="22"/>
        </w:rPr>
        <w:t>ReportLab Graphics Assembly. (2025). Flowable Canvas Geometry Layout Rules for PDFs. Retrieved from https://www.reportlab.com/docs/</w:t>
      </w:r>
    </w:p>
    <w:p>
      <w:pPr>
        <w:spacing w:before="720"/>
      </w:pPr>
      <w:r>
        <w:rPr>
          <w:i/>
          <w:color w:val="718096"/>
        </w:rPr>
        <w:t>--- [Appendix Segment A: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B: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C: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D: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E: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F: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G: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H: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I: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J: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K: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L: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M: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N: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p>
      <w:pPr>
        <w:spacing w:before="720"/>
      </w:pPr>
      <w:r>
        <w:rPr>
          <w:i/>
          <w:color w:val="718096"/>
        </w:rPr>
        <w:t>--- [Appendix Segment O: Deep Code Architecture and Technical Operational Logs] ---</w:t>
        <w:br/>
        <w:t>This supplemental appendix section holds granular technical context notes, system environment configurations, multi-threaded optimization protocols, local token buffer settings, and diagnostic logs tracked during code verification. Maintaining these detailed execution tables helps keep track of performance metrics, model inference speeds, and parsing stability across deployment targets.</w:t>
      </w:r>
    </w:p>
    <w:p>
      <w:r>
        <w:br w:type="page"/>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18096"/>
        <w:sz w:val="18"/>
      </w:rPr>
      <w:t xml:space="preserve">Page </w:t>
      <w:fldChar w:fldCharType="begin"/>
      <w:instrText xml:space="preserve">PAGE</w:instrText>
      <w:fldChar w:fldCharType="separate"/>
      <w:fldChar w:fldCharType="end"/>
    </w:r>
    <w:r>
      <w:rPr>
        <w:rFonts w:ascii="Arial" w:hAnsi="Arial"/>
        <w:color w:val="718096"/>
        <w:sz w:val="18"/>
      </w:rPr>
      <w:t xml:space="preserve"> of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AI Writer Pro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