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C37714" w14:textId="545F06DA" w:rsidR="00156CE6" w:rsidRDefault="00156CE6" w:rsidP="00156CE6">
      <w:r>
        <w:rPr>
          <w:noProof/>
        </w:rPr>
        <w:drawing>
          <wp:inline distT="0" distB="0" distL="0" distR="0" wp14:anchorId="5C96B415" wp14:editId="45091C6E">
            <wp:extent cx="6453392" cy="4831080"/>
            <wp:effectExtent l="0" t="0" r="5080" b="7620"/>
            <wp:docPr id="128136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514" cy="485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A7F64" w14:textId="77777777" w:rsidR="00156CE6" w:rsidRDefault="00156CE6" w:rsidP="00156CE6"/>
    <w:p w14:paraId="0C00CB6A" w14:textId="5D79A34C" w:rsidR="00156CE6" w:rsidRPr="00156CE6" w:rsidRDefault="00156CE6" w:rsidP="00156CE6">
      <w:r>
        <w:t xml:space="preserve">We have </w:t>
      </w:r>
      <w:r w:rsidRPr="00156CE6">
        <w:t>imported the essential Python libraries for data analysis:</w:t>
      </w:r>
    </w:p>
    <w:p w14:paraId="15885BBB" w14:textId="77777777" w:rsidR="00156CE6" w:rsidRPr="00156CE6" w:rsidRDefault="00156CE6" w:rsidP="00156CE6">
      <w:pPr>
        <w:numPr>
          <w:ilvl w:val="0"/>
          <w:numId w:val="7"/>
        </w:numPr>
      </w:pPr>
      <w:r w:rsidRPr="00156CE6">
        <w:rPr>
          <w:b/>
          <w:bCs/>
        </w:rPr>
        <w:t>pandas</w:t>
      </w:r>
      <w:r w:rsidRPr="00156CE6">
        <w:t xml:space="preserve"> for data manipulation and analysis.</w:t>
      </w:r>
    </w:p>
    <w:p w14:paraId="2B33CD95" w14:textId="77777777" w:rsidR="00156CE6" w:rsidRPr="00156CE6" w:rsidRDefault="00156CE6" w:rsidP="00156CE6">
      <w:pPr>
        <w:numPr>
          <w:ilvl w:val="0"/>
          <w:numId w:val="7"/>
        </w:numPr>
      </w:pPr>
      <w:proofErr w:type="spellStart"/>
      <w:r w:rsidRPr="00156CE6">
        <w:rPr>
          <w:b/>
          <w:bCs/>
        </w:rPr>
        <w:t>numpy</w:t>
      </w:r>
      <w:proofErr w:type="spellEnd"/>
      <w:r w:rsidRPr="00156CE6">
        <w:t xml:space="preserve"> for numerical operations.</w:t>
      </w:r>
    </w:p>
    <w:p w14:paraId="48C3F6C5" w14:textId="44C08380" w:rsidR="00156CE6" w:rsidRPr="00156CE6" w:rsidRDefault="00156CE6" w:rsidP="00156CE6">
      <w:pPr>
        <w:numPr>
          <w:ilvl w:val="0"/>
          <w:numId w:val="7"/>
        </w:numPr>
      </w:pPr>
      <w:proofErr w:type="spellStart"/>
      <w:proofErr w:type="gramStart"/>
      <w:r w:rsidRPr="00156CE6">
        <w:rPr>
          <w:b/>
          <w:bCs/>
        </w:rPr>
        <w:t>matplotlib.pyplot</w:t>
      </w:r>
      <w:proofErr w:type="spellEnd"/>
      <w:proofErr w:type="gramEnd"/>
      <w:r w:rsidRPr="00156CE6">
        <w:t xml:space="preserve"> and </w:t>
      </w:r>
      <w:r w:rsidRPr="00156CE6">
        <w:rPr>
          <w:b/>
          <w:bCs/>
        </w:rPr>
        <w:t>seaborn</w:t>
      </w:r>
      <w:r w:rsidRPr="00156CE6">
        <w:t xml:space="preserve"> for creating charts and visualizations.</w:t>
      </w:r>
    </w:p>
    <w:p w14:paraId="721304ED" w14:textId="77777777" w:rsidR="00156CE6" w:rsidRPr="00156CE6" w:rsidRDefault="00156CE6" w:rsidP="00156CE6">
      <w:pPr>
        <w:numPr>
          <w:ilvl w:val="0"/>
          <w:numId w:val="8"/>
        </w:numPr>
      </w:pPr>
      <w:r w:rsidRPr="00156CE6">
        <w:t xml:space="preserve">Defines the path to the </w:t>
      </w:r>
      <w:r w:rsidRPr="00156CE6">
        <w:rPr>
          <w:b/>
          <w:bCs/>
        </w:rPr>
        <w:t>customer churn dataset</w:t>
      </w:r>
      <w:r w:rsidRPr="00156CE6">
        <w:t>.</w:t>
      </w:r>
    </w:p>
    <w:p w14:paraId="5EB0EA10" w14:textId="77777777" w:rsidR="00156CE6" w:rsidRPr="00156CE6" w:rsidRDefault="00156CE6" w:rsidP="00156CE6">
      <w:pPr>
        <w:numPr>
          <w:ilvl w:val="0"/>
          <w:numId w:val="8"/>
        </w:numPr>
      </w:pPr>
      <w:r w:rsidRPr="00156CE6">
        <w:t xml:space="preserve">Loads the CSV into a </w:t>
      </w:r>
      <w:proofErr w:type="spellStart"/>
      <w:r w:rsidRPr="00156CE6">
        <w:t>DataFrame</w:t>
      </w:r>
      <w:proofErr w:type="spellEnd"/>
      <w:r w:rsidRPr="00156CE6">
        <w:t xml:space="preserve"> called </w:t>
      </w:r>
      <w:proofErr w:type="spellStart"/>
      <w:r w:rsidRPr="00156CE6">
        <w:t>df</w:t>
      </w:r>
      <w:proofErr w:type="spellEnd"/>
      <w:r w:rsidRPr="00156CE6">
        <w:t xml:space="preserve"> using </w:t>
      </w:r>
      <w:proofErr w:type="spellStart"/>
      <w:proofErr w:type="gramStart"/>
      <w:r w:rsidRPr="00156CE6">
        <w:t>pandas.read</w:t>
      </w:r>
      <w:proofErr w:type="gramEnd"/>
      <w:r w:rsidRPr="00156CE6">
        <w:t>_</w:t>
      </w:r>
      <w:proofErr w:type="gramStart"/>
      <w:r w:rsidRPr="00156CE6">
        <w:t>csv</w:t>
      </w:r>
      <w:proofErr w:type="spellEnd"/>
      <w:r w:rsidRPr="00156CE6">
        <w:t>(</w:t>
      </w:r>
      <w:proofErr w:type="gramEnd"/>
      <w:r w:rsidRPr="00156CE6">
        <w:t>).</w:t>
      </w:r>
    </w:p>
    <w:p w14:paraId="404BA2FA" w14:textId="0638D788" w:rsidR="00156CE6" w:rsidRPr="00156CE6" w:rsidRDefault="00156CE6" w:rsidP="00156CE6">
      <w:pPr>
        <w:numPr>
          <w:ilvl w:val="0"/>
          <w:numId w:val="8"/>
        </w:numPr>
      </w:pPr>
      <w:r w:rsidRPr="00156CE6">
        <w:t>Uses UTF-8 encoding to ensure all text is correctly read.</w:t>
      </w:r>
    </w:p>
    <w:p w14:paraId="28BA0443" w14:textId="77777777" w:rsidR="00156CE6" w:rsidRPr="00156CE6" w:rsidRDefault="00156CE6" w:rsidP="00156CE6">
      <w:pPr>
        <w:numPr>
          <w:ilvl w:val="0"/>
          <w:numId w:val="9"/>
        </w:numPr>
      </w:pPr>
      <w:r w:rsidRPr="00156CE6">
        <w:t xml:space="preserve">Each row is a </w:t>
      </w:r>
      <w:r w:rsidRPr="00156CE6">
        <w:rPr>
          <w:b/>
          <w:bCs/>
        </w:rPr>
        <w:t>customer</w:t>
      </w:r>
      <w:r w:rsidRPr="00156CE6">
        <w:t>.</w:t>
      </w:r>
    </w:p>
    <w:p w14:paraId="03424DB1" w14:textId="77777777" w:rsidR="00156CE6" w:rsidRPr="00156CE6" w:rsidRDefault="00156CE6" w:rsidP="00156CE6">
      <w:pPr>
        <w:numPr>
          <w:ilvl w:val="0"/>
          <w:numId w:val="9"/>
        </w:numPr>
      </w:pPr>
      <w:r w:rsidRPr="00156CE6">
        <w:t xml:space="preserve">Each column is a </w:t>
      </w:r>
      <w:r w:rsidRPr="00156CE6">
        <w:rPr>
          <w:b/>
          <w:bCs/>
        </w:rPr>
        <w:t>feature</w:t>
      </w:r>
      <w:r w:rsidRPr="00156CE6">
        <w:t xml:space="preserve"> about that customer.</w:t>
      </w:r>
    </w:p>
    <w:p w14:paraId="191149B0" w14:textId="688D915F" w:rsidR="00DE0D01" w:rsidRDefault="007D579E">
      <w:r>
        <w:rPr>
          <w:noProof/>
        </w:rPr>
        <w:lastRenderedPageBreak/>
        <w:drawing>
          <wp:inline distT="0" distB="0" distL="0" distR="0" wp14:anchorId="158B2289" wp14:editId="61F97A29">
            <wp:extent cx="5943600" cy="4366260"/>
            <wp:effectExtent l="0" t="0" r="0" b="0"/>
            <wp:docPr id="344633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7889" w14:textId="77777777" w:rsidR="007D579E" w:rsidRDefault="007D579E"/>
    <w:p w14:paraId="32307890" w14:textId="77777777" w:rsidR="007D579E" w:rsidRDefault="007D579E"/>
    <w:p w14:paraId="48643C4F" w14:textId="2F2CFB10" w:rsidR="007D579E" w:rsidRDefault="007D579E"/>
    <w:p w14:paraId="7F798977" w14:textId="7F54DB28" w:rsidR="007D579E" w:rsidRPr="007D579E" w:rsidRDefault="007D579E" w:rsidP="007D579E">
      <w:pPr>
        <w:ind w:firstLine="720"/>
      </w:pPr>
      <w:r w:rsidRPr="007D579E">
        <w:t xml:space="preserve"> The dataset contains </w:t>
      </w:r>
      <w:r w:rsidRPr="007D579E">
        <w:rPr>
          <w:b/>
          <w:bCs/>
        </w:rPr>
        <w:t>7,043 records</w:t>
      </w:r>
      <w:r w:rsidRPr="007D579E">
        <w:t xml:space="preserve"> and </w:t>
      </w:r>
      <w:r w:rsidRPr="007D579E">
        <w:rPr>
          <w:b/>
          <w:bCs/>
        </w:rPr>
        <w:t>21 columns</w:t>
      </w:r>
      <w:r w:rsidRPr="007D579E">
        <w:t xml:space="preserve">, with </w:t>
      </w:r>
      <w:r w:rsidRPr="007D579E">
        <w:rPr>
          <w:b/>
          <w:bCs/>
        </w:rPr>
        <w:t>no missing values</w:t>
      </w:r>
      <w:r w:rsidRPr="007D579E">
        <w:t xml:space="preserve"> across any column.</w:t>
      </w:r>
    </w:p>
    <w:p w14:paraId="749B8F44" w14:textId="42659C64" w:rsidR="007D579E" w:rsidRPr="007D579E" w:rsidRDefault="007D579E" w:rsidP="007D579E">
      <w:pPr>
        <w:ind w:firstLine="720"/>
      </w:pPr>
      <w:r w:rsidRPr="007D579E">
        <w:t xml:space="preserve">  Most columns are of type </w:t>
      </w:r>
      <w:r w:rsidRPr="007D579E">
        <w:rPr>
          <w:b/>
          <w:bCs/>
        </w:rPr>
        <w:t>object</w:t>
      </w:r>
      <w:r w:rsidRPr="007D579E">
        <w:t>, indicating categorical/string data, which may need encoding for modeling.</w:t>
      </w:r>
    </w:p>
    <w:p w14:paraId="0ED424CF" w14:textId="4F2D7521" w:rsidR="007D579E" w:rsidRPr="007D579E" w:rsidRDefault="007D579E" w:rsidP="007D579E">
      <w:pPr>
        <w:ind w:firstLine="720"/>
      </w:pPr>
      <w:r w:rsidRPr="007D579E">
        <w:t xml:space="preserve">  The columns </w:t>
      </w:r>
      <w:proofErr w:type="spellStart"/>
      <w:r w:rsidRPr="007D579E">
        <w:t>MonthlyCharges</w:t>
      </w:r>
      <w:proofErr w:type="spellEnd"/>
      <w:r w:rsidRPr="007D579E">
        <w:t xml:space="preserve"> and </w:t>
      </w:r>
      <w:proofErr w:type="spellStart"/>
      <w:r w:rsidRPr="007D579E">
        <w:t>TotalCharges</w:t>
      </w:r>
      <w:proofErr w:type="spellEnd"/>
      <w:r w:rsidRPr="007D579E">
        <w:t xml:space="preserve"> are numeric, but </w:t>
      </w:r>
      <w:proofErr w:type="spellStart"/>
      <w:r w:rsidRPr="007D579E">
        <w:rPr>
          <w:b/>
          <w:bCs/>
        </w:rPr>
        <w:t>TotalCharges</w:t>
      </w:r>
      <w:proofErr w:type="spellEnd"/>
      <w:r w:rsidRPr="007D579E">
        <w:rPr>
          <w:b/>
          <w:bCs/>
        </w:rPr>
        <w:t xml:space="preserve"> is incorrectly typed as object</w:t>
      </w:r>
      <w:r w:rsidRPr="007D579E">
        <w:t xml:space="preserve"> — likely due to spaces or formatting.</w:t>
      </w:r>
    </w:p>
    <w:p w14:paraId="6482504B" w14:textId="77777777" w:rsidR="007D579E" w:rsidRDefault="007D579E" w:rsidP="007D579E">
      <w:pPr>
        <w:ind w:firstLine="720"/>
      </w:pPr>
      <w:r w:rsidRPr="007D579E">
        <w:t xml:space="preserve"> Overall, the dataset is clean and ready for further preprocessing and exploratory </w:t>
      </w:r>
    </w:p>
    <w:p w14:paraId="5AE80B9F" w14:textId="77777777" w:rsidR="007D579E" w:rsidRDefault="007D579E">
      <w:r>
        <w:br w:type="page"/>
      </w:r>
    </w:p>
    <w:p w14:paraId="501DCE7A" w14:textId="4FE8539A" w:rsidR="007D579E" w:rsidRDefault="007D579E" w:rsidP="007D579E">
      <w:pPr>
        <w:ind w:firstLine="720"/>
      </w:pPr>
      <w:r>
        <w:rPr>
          <w:noProof/>
        </w:rPr>
        <w:lastRenderedPageBreak/>
        <w:drawing>
          <wp:inline distT="0" distB="0" distL="0" distR="0" wp14:anchorId="18C0844B" wp14:editId="2D3B40DF">
            <wp:extent cx="4655820" cy="3070552"/>
            <wp:effectExtent l="0" t="0" r="0" b="0"/>
            <wp:docPr id="310249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713" cy="307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AB9E" w14:textId="77777777" w:rsidR="007D579E" w:rsidRPr="007D579E" w:rsidRDefault="007D579E" w:rsidP="007D579E">
      <w:proofErr w:type="gramStart"/>
      <w:r w:rsidRPr="007D579E">
        <w:t>  The</w:t>
      </w:r>
      <w:proofErr w:type="gramEnd"/>
      <w:r w:rsidRPr="007D579E">
        <w:t xml:space="preserve"> </w:t>
      </w:r>
      <w:proofErr w:type="spellStart"/>
      <w:r w:rsidRPr="007D579E">
        <w:t>TotalCharges</w:t>
      </w:r>
      <w:proofErr w:type="spellEnd"/>
      <w:r w:rsidRPr="007D579E">
        <w:t xml:space="preserve"> column initially had blank spaces for some rows where tenure was 0. These were replaced with "0" </w:t>
      </w:r>
      <w:proofErr w:type="gramStart"/>
      <w:r w:rsidRPr="007D579E">
        <w:t>using .replace</w:t>
      </w:r>
      <w:proofErr w:type="gramEnd"/>
      <w:r w:rsidRPr="007D579E">
        <w:t>(" ", "0").</w:t>
      </w:r>
    </w:p>
    <w:p w14:paraId="66C9AC3B" w14:textId="77777777" w:rsidR="007D579E" w:rsidRPr="007D579E" w:rsidRDefault="007D579E" w:rsidP="007D579E">
      <w:proofErr w:type="gramStart"/>
      <w:r w:rsidRPr="007D579E">
        <w:t>  The</w:t>
      </w:r>
      <w:proofErr w:type="gramEnd"/>
      <w:r w:rsidRPr="007D579E">
        <w:t xml:space="preserve"> column was then converted from object to float64 </w:t>
      </w:r>
      <w:proofErr w:type="gramStart"/>
      <w:r w:rsidRPr="007D579E">
        <w:t>using .</w:t>
      </w:r>
      <w:proofErr w:type="spellStart"/>
      <w:r w:rsidRPr="007D579E">
        <w:t>astype</w:t>
      </w:r>
      <w:proofErr w:type="spellEnd"/>
      <w:proofErr w:type="gramEnd"/>
      <w:r w:rsidRPr="007D579E">
        <w:t xml:space="preserve">("float") to ensure </w:t>
      </w:r>
      <w:proofErr w:type="spellStart"/>
      <w:r w:rsidRPr="007D579E">
        <w:t>it's</w:t>
      </w:r>
      <w:proofErr w:type="spellEnd"/>
      <w:r w:rsidRPr="007D579E">
        <w:t xml:space="preserve"> numerically usable for analysis.</w:t>
      </w:r>
    </w:p>
    <w:p w14:paraId="61E1397C" w14:textId="77777777" w:rsidR="007D579E" w:rsidRPr="007D579E" w:rsidRDefault="007D579E" w:rsidP="007D579E">
      <w:proofErr w:type="gramStart"/>
      <w:r w:rsidRPr="007D579E">
        <w:t>  Running</w:t>
      </w:r>
      <w:proofErr w:type="gramEnd"/>
      <w:r w:rsidRPr="007D579E">
        <w:t xml:space="preserve"> </w:t>
      </w:r>
      <w:proofErr w:type="gramStart"/>
      <w:r w:rsidRPr="007D579E">
        <w:t>df.info(</w:t>
      </w:r>
      <w:proofErr w:type="gramEnd"/>
      <w:r w:rsidRPr="007D579E">
        <w:t xml:space="preserve">) confirms that the data types are now correct, with both </w:t>
      </w:r>
      <w:proofErr w:type="spellStart"/>
      <w:r w:rsidRPr="007D579E">
        <w:t>MonthlyCharges</w:t>
      </w:r>
      <w:proofErr w:type="spellEnd"/>
      <w:r w:rsidRPr="007D579E">
        <w:t xml:space="preserve"> and </w:t>
      </w:r>
      <w:proofErr w:type="spellStart"/>
      <w:r w:rsidRPr="007D579E">
        <w:t>TotalCharges</w:t>
      </w:r>
      <w:proofErr w:type="spellEnd"/>
      <w:r w:rsidRPr="007D579E">
        <w:t xml:space="preserve"> as float64.</w:t>
      </w:r>
    </w:p>
    <w:p w14:paraId="18673306" w14:textId="77777777" w:rsidR="007D579E" w:rsidRPr="007D579E" w:rsidRDefault="007D579E" w:rsidP="007D579E">
      <w:proofErr w:type="gramStart"/>
      <w:r w:rsidRPr="007D579E">
        <w:t>  All</w:t>
      </w:r>
      <w:proofErr w:type="gramEnd"/>
      <w:r w:rsidRPr="007D579E">
        <w:t xml:space="preserve"> 7043 entries are non-null, indicating that missing values have been successfully handled.</w:t>
      </w:r>
    </w:p>
    <w:p w14:paraId="4A1D3303" w14:textId="77777777" w:rsidR="007D579E" w:rsidRPr="007D579E" w:rsidRDefault="007D579E" w:rsidP="007D579E">
      <w:proofErr w:type="gramStart"/>
      <w:r w:rsidRPr="007D579E">
        <w:t>  This</w:t>
      </w:r>
      <w:proofErr w:type="gramEnd"/>
      <w:r w:rsidRPr="007D579E">
        <w:t xml:space="preserve"> step was essential for ensuring numerical integrity in correlation analysis and visualizations involving charges.</w:t>
      </w:r>
    </w:p>
    <w:p w14:paraId="5D3ADF04" w14:textId="77777777" w:rsidR="007D579E" w:rsidRPr="007D579E" w:rsidRDefault="007D579E" w:rsidP="007D579E">
      <w:proofErr w:type="gramStart"/>
      <w:r w:rsidRPr="007D579E">
        <w:t>  Proper</w:t>
      </w:r>
      <w:proofErr w:type="gramEnd"/>
      <w:r w:rsidRPr="007D579E">
        <w:t xml:space="preserve"> data typing like this improves modeling accuracy and prevents runtime errors in statistical operations.</w:t>
      </w:r>
    </w:p>
    <w:p w14:paraId="6D2299E3" w14:textId="34AB6EE2" w:rsidR="007D579E" w:rsidRPr="007D579E" w:rsidRDefault="007D579E" w:rsidP="007D579E">
      <w:r>
        <w:br w:type="page"/>
      </w:r>
    </w:p>
    <w:p w14:paraId="63767EEA" w14:textId="77777777" w:rsidR="007D579E" w:rsidRDefault="007D579E" w:rsidP="007D579E"/>
    <w:p w14:paraId="09CBD4AA" w14:textId="53EFD51C" w:rsidR="007D579E" w:rsidRDefault="007D579E" w:rsidP="007D579E"/>
    <w:p w14:paraId="023185BB" w14:textId="39861AD7" w:rsidR="007D579E" w:rsidRDefault="007D579E" w:rsidP="007D579E">
      <w:pPr>
        <w:ind w:firstLine="720"/>
      </w:pPr>
      <w:r>
        <w:rPr>
          <w:noProof/>
        </w:rPr>
        <w:drawing>
          <wp:inline distT="0" distB="0" distL="0" distR="0" wp14:anchorId="531B29D3" wp14:editId="39091A1B">
            <wp:extent cx="5113020" cy="3315815"/>
            <wp:effectExtent l="0" t="0" r="0" b="0"/>
            <wp:docPr id="18506391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843" cy="33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33308" w14:textId="77777777" w:rsidR="007D579E" w:rsidRPr="007D579E" w:rsidRDefault="007D579E" w:rsidP="007D579E">
      <w:proofErr w:type="gramStart"/>
      <w:r w:rsidRPr="007D579E">
        <w:t>  The</w:t>
      </w:r>
      <w:proofErr w:type="gramEnd"/>
      <w:r w:rsidRPr="007D579E">
        <w:t xml:space="preserve"> output of </w:t>
      </w:r>
      <w:proofErr w:type="spellStart"/>
      <w:proofErr w:type="gramStart"/>
      <w:r w:rsidRPr="007D579E">
        <w:t>df.isnull</w:t>
      </w:r>
      <w:proofErr w:type="spellEnd"/>
      <w:proofErr w:type="gramEnd"/>
      <w:r w:rsidRPr="007D579E">
        <w:t>(</w:t>
      </w:r>
      <w:proofErr w:type="gramStart"/>
      <w:r w:rsidRPr="007D579E">
        <w:t>).sum</w:t>
      </w:r>
      <w:proofErr w:type="gramEnd"/>
      <w:r w:rsidRPr="007D579E">
        <w:t xml:space="preserve">() confirms that </w:t>
      </w:r>
      <w:r w:rsidRPr="007D579E">
        <w:rPr>
          <w:b/>
          <w:bCs/>
        </w:rPr>
        <w:t>there are no missing values</w:t>
      </w:r>
      <w:r w:rsidRPr="007D579E">
        <w:t xml:space="preserve"> in any of the 21 columns—ensuring a clean dataset for analysis.</w:t>
      </w:r>
    </w:p>
    <w:p w14:paraId="6FF9A13B" w14:textId="77777777" w:rsidR="007D579E" w:rsidRPr="007D579E" w:rsidRDefault="007D579E" w:rsidP="007D579E">
      <w:proofErr w:type="gramStart"/>
      <w:r w:rsidRPr="007D579E">
        <w:t xml:space="preserve">  </w:t>
      </w:r>
      <w:proofErr w:type="spellStart"/>
      <w:r w:rsidRPr="007D579E">
        <w:t>df</w:t>
      </w:r>
      <w:proofErr w:type="gramEnd"/>
      <w:r w:rsidRPr="007D579E">
        <w:t>.</w:t>
      </w:r>
      <w:proofErr w:type="gramStart"/>
      <w:r w:rsidRPr="007D579E">
        <w:t>describe</w:t>
      </w:r>
      <w:proofErr w:type="spellEnd"/>
      <w:r w:rsidRPr="007D579E">
        <w:t>(</w:t>
      </w:r>
      <w:proofErr w:type="gramEnd"/>
      <w:r w:rsidRPr="007D579E">
        <w:t xml:space="preserve">) gives statistical summaries of numerical columns like </w:t>
      </w:r>
      <w:proofErr w:type="spellStart"/>
      <w:r w:rsidRPr="007D579E">
        <w:t>SeniorCitizen</w:t>
      </w:r>
      <w:proofErr w:type="spellEnd"/>
      <w:r w:rsidRPr="007D579E">
        <w:t xml:space="preserve">, tenure, </w:t>
      </w:r>
      <w:proofErr w:type="spellStart"/>
      <w:r w:rsidRPr="007D579E">
        <w:t>MonthlyCharges</w:t>
      </w:r>
      <w:proofErr w:type="spellEnd"/>
      <w:r w:rsidRPr="007D579E">
        <w:t xml:space="preserve">, and </w:t>
      </w:r>
      <w:proofErr w:type="spellStart"/>
      <w:r w:rsidRPr="007D579E">
        <w:t>TotalCharges</w:t>
      </w:r>
      <w:proofErr w:type="spellEnd"/>
      <w:r w:rsidRPr="007D579E">
        <w:t>.</w:t>
      </w:r>
    </w:p>
    <w:p w14:paraId="56AB40C7" w14:textId="77777777" w:rsidR="007D579E" w:rsidRPr="007D579E" w:rsidRDefault="007D579E" w:rsidP="007D579E">
      <w:proofErr w:type="gramStart"/>
      <w:r w:rsidRPr="007D579E">
        <w:t>  The</w:t>
      </w:r>
      <w:proofErr w:type="gramEnd"/>
      <w:r w:rsidRPr="007D579E">
        <w:t xml:space="preserve"> </w:t>
      </w:r>
      <w:r w:rsidRPr="007D579E">
        <w:rPr>
          <w:b/>
          <w:bCs/>
        </w:rPr>
        <w:t>average customer tenure</w:t>
      </w:r>
      <w:r w:rsidRPr="007D579E">
        <w:t xml:space="preserve"> is about 32 months, while </w:t>
      </w:r>
      <w:r w:rsidRPr="007D579E">
        <w:rPr>
          <w:b/>
          <w:bCs/>
        </w:rPr>
        <w:t>monthly charges</w:t>
      </w:r>
      <w:r w:rsidRPr="007D579E">
        <w:t xml:space="preserve"> average ₹64.76.</w:t>
      </w:r>
    </w:p>
    <w:p w14:paraId="02E10550" w14:textId="77777777" w:rsidR="007D579E" w:rsidRPr="007D579E" w:rsidRDefault="007D579E" w:rsidP="007D579E">
      <w:proofErr w:type="gramStart"/>
      <w:r w:rsidRPr="007D579E">
        <w:t xml:space="preserve">  </w:t>
      </w:r>
      <w:proofErr w:type="spellStart"/>
      <w:r w:rsidRPr="007D579E">
        <w:t>TotalCharges</w:t>
      </w:r>
      <w:proofErr w:type="spellEnd"/>
      <w:proofErr w:type="gramEnd"/>
      <w:r w:rsidRPr="007D579E">
        <w:t xml:space="preserve"> has a wide range (₹0 to ₹8684.8), indicating a highly diverse customer base.</w:t>
      </w:r>
    </w:p>
    <w:p w14:paraId="0D957A93" w14:textId="77777777" w:rsidR="007D579E" w:rsidRPr="007D579E" w:rsidRDefault="007D579E" w:rsidP="007D579E">
      <w:proofErr w:type="gramStart"/>
      <w:r w:rsidRPr="007D579E">
        <w:t>  The</w:t>
      </w:r>
      <w:proofErr w:type="gramEnd"/>
      <w:r w:rsidRPr="007D579E">
        <w:t xml:space="preserve"> standard deviation for charges is quite high, suggesting varying usage or service combinations.</w:t>
      </w:r>
    </w:p>
    <w:p w14:paraId="3A8C08D6" w14:textId="77777777" w:rsidR="007D579E" w:rsidRPr="007D579E" w:rsidRDefault="007D579E" w:rsidP="007D579E">
      <w:proofErr w:type="gramStart"/>
      <w:r w:rsidRPr="007D579E">
        <w:t>  These</w:t>
      </w:r>
      <w:proofErr w:type="gramEnd"/>
      <w:r w:rsidRPr="007D579E">
        <w:t xml:space="preserve"> insights help in understanding billing patterns and segmenting customers for churn analysis or retention strategies.</w:t>
      </w:r>
    </w:p>
    <w:p w14:paraId="5505FB10" w14:textId="24DCA6AE" w:rsidR="007D579E" w:rsidRPr="007D579E" w:rsidRDefault="007D579E" w:rsidP="007D579E">
      <w:r>
        <w:br w:type="page"/>
      </w:r>
    </w:p>
    <w:p w14:paraId="4B3109AF" w14:textId="71BE69E8" w:rsidR="007D579E" w:rsidRDefault="007D579E">
      <w:r>
        <w:rPr>
          <w:noProof/>
        </w:rPr>
        <w:lastRenderedPageBreak/>
        <w:drawing>
          <wp:inline distT="0" distB="0" distL="0" distR="0" wp14:anchorId="1D39B3C9" wp14:editId="5E632892">
            <wp:extent cx="5943600" cy="3441700"/>
            <wp:effectExtent l="0" t="0" r="0" b="6350"/>
            <wp:docPr id="6912223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BA87" w14:textId="1BC300FF" w:rsidR="007D579E" w:rsidRDefault="007D579E" w:rsidP="007D579E">
      <w:pPr>
        <w:ind w:firstLine="720"/>
      </w:pPr>
    </w:p>
    <w:p w14:paraId="5949A89F" w14:textId="77777777" w:rsidR="007D579E" w:rsidRPr="007D579E" w:rsidRDefault="007D579E" w:rsidP="007D579E">
      <w:proofErr w:type="gramStart"/>
      <w:r w:rsidRPr="007D579E">
        <w:t>  No</w:t>
      </w:r>
      <w:proofErr w:type="gramEnd"/>
      <w:r w:rsidRPr="007D579E">
        <w:t xml:space="preserve"> duplicate records are found using </w:t>
      </w:r>
      <w:proofErr w:type="spellStart"/>
      <w:proofErr w:type="gramStart"/>
      <w:r w:rsidRPr="007D579E">
        <w:t>df.duplicated</w:t>
      </w:r>
      <w:proofErr w:type="spellEnd"/>
      <w:proofErr w:type="gramEnd"/>
      <w:r w:rsidRPr="007D579E">
        <w:t>(</w:t>
      </w:r>
      <w:proofErr w:type="gramStart"/>
      <w:r w:rsidRPr="007D579E">
        <w:t>).sum</w:t>
      </w:r>
      <w:proofErr w:type="gramEnd"/>
      <w:r w:rsidRPr="007D579E">
        <w:t xml:space="preserve">() or on </w:t>
      </w:r>
      <w:proofErr w:type="spellStart"/>
      <w:r w:rsidRPr="007D579E">
        <w:t>customerID</w:t>
      </w:r>
      <w:proofErr w:type="spellEnd"/>
      <w:r w:rsidRPr="007D579E">
        <w:t xml:space="preserve">, ensuring </w:t>
      </w:r>
      <w:r w:rsidRPr="007D579E">
        <w:rPr>
          <w:b/>
          <w:bCs/>
        </w:rPr>
        <w:t>data uniqueness</w:t>
      </w:r>
      <w:r w:rsidRPr="007D579E">
        <w:t>.</w:t>
      </w:r>
    </w:p>
    <w:p w14:paraId="79D6D465" w14:textId="77777777" w:rsidR="007D579E" w:rsidRPr="007D579E" w:rsidRDefault="007D579E" w:rsidP="007D579E">
      <w:proofErr w:type="gramStart"/>
      <w:r w:rsidRPr="007D579E">
        <w:t>  A</w:t>
      </w:r>
      <w:proofErr w:type="gramEnd"/>
      <w:r w:rsidRPr="007D579E">
        <w:t xml:space="preserve"> custom function </w:t>
      </w:r>
      <w:proofErr w:type="gramStart"/>
      <w:r w:rsidRPr="007D579E">
        <w:t>conv(</w:t>
      </w:r>
      <w:proofErr w:type="gramEnd"/>
      <w:r w:rsidRPr="007D579E">
        <w:t xml:space="preserve">) was applied to convert </w:t>
      </w:r>
      <w:proofErr w:type="spellStart"/>
      <w:r w:rsidRPr="007D579E">
        <w:t>SeniorCitizen</w:t>
      </w:r>
      <w:proofErr w:type="spellEnd"/>
      <w:r w:rsidRPr="007D579E">
        <w:t xml:space="preserve"> values from 0/1 to "no"/"yes" for better readability.</w:t>
      </w:r>
    </w:p>
    <w:p w14:paraId="419F1177" w14:textId="77777777" w:rsidR="007D579E" w:rsidRPr="007D579E" w:rsidRDefault="007D579E" w:rsidP="007D579E">
      <w:proofErr w:type="gramStart"/>
      <w:r w:rsidRPr="007D579E">
        <w:t>  The</w:t>
      </w:r>
      <w:proofErr w:type="gramEnd"/>
      <w:r w:rsidRPr="007D579E">
        <w:t xml:space="preserve"> </w:t>
      </w:r>
      <w:proofErr w:type="spellStart"/>
      <w:proofErr w:type="gramStart"/>
      <w:r w:rsidRPr="007D579E">
        <w:t>df.head</w:t>
      </w:r>
      <w:proofErr w:type="spellEnd"/>
      <w:proofErr w:type="gramEnd"/>
      <w:r w:rsidRPr="007D579E">
        <w:t>(20) output gives a clear preview of the dataset’s structure with customer demographics and service usage.</w:t>
      </w:r>
    </w:p>
    <w:p w14:paraId="0E6DD5EE" w14:textId="77777777" w:rsidR="007D579E" w:rsidRPr="007D579E" w:rsidRDefault="007D579E" w:rsidP="007D579E">
      <w:proofErr w:type="gramStart"/>
      <w:r w:rsidRPr="007D579E">
        <w:t>  This</w:t>
      </w:r>
      <w:proofErr w:type="gramEnd"/>
      <w:r w:rsidRPr="007D579E">
        <w:t xml:space="preserve"> preprocessing improves clarity and makes the dataset more interpretable for both analysis and visualization.</w:t>
      </w:r>
    </w:p>
    <w:p w14:paraId="7FB5CD87" w14:textId="11ADF2D6" w:rsidR="007D579E" w:rsidRPr="007D579E" w:rsidRDefault="007D579E" w:rsidP="007D579E">
      <w:r>
        <w:br w:type="page"/>
      </w:r>
    </w:p>
    <w:p w14:paraId="2309F774" w14:textId="7C9AC39A" w:rsidR="007D579E" w:rsidRDefault="007D579E"/>
    <w:p w14:paraId="686C3F3D" w14:textId="613C3A42" w:rsidR="007D579E" w:rsidRDefault="007D579E" w:rsidP="007D579E">
      <w:pPr>
        <w:ind w:firstLine="720"/>
      </w:pPr>
    </w:p>
    <w:p w14:paraId="22900D2B" w14:textId="77777777" w:rsidR="007D579E" w:rsidRDefault="007D579E">
      <w:r>
        <w:rPr>
          <w:noProof/>
        </w:rPr>
        <w:drawing>
          <wp:inline distT="0" distB="0" distL="0" distR="0" wp14:anchorId="249BD0D7" wp14:editId="36C9CDD8">
            <wp:extent cx="5943600" cy="3644265"/>
            <wp:effectExtent l="0" t="0" r="0" b="0"/>
            <wp:docPr id="1582856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AE00F" w14:textId="77777777" w:rsidR="007D579E" w:rsidRPr="007D579E" w:rsidRDefault="007D579E" w:rsidP="007D579E">
      <w:proofErr w:type="gramStart"/>
      <w:r w:rsidRPr="007D579E">
        <w:t>  A</w:t>
      </w:r>
      <w:proofErr w:type="gramEnd"/>
      <w:r w:rsidRPr="007D579E">
        <w:t xml:space="preserve"> </w:t>
      </w:r>
      <w:proofErr w:type="spellStart"/>
      <w:r w:rsidRPr="007D579E">
        <w:rPr>
          <w:b/>
          <w:bCs/>
        </w:rPr>
        <w:t>countplot</w:t>
      </w:r>
      <w:proofErr w:type="spellEnd"/>
      <w:r w:rsidRPr="007D579E">
        <w:t xml:space="preserve"> was created using Seaborn to visualize customer churn.</w:t>
      </w:r>
    </w:p>
    <w:p w14:paraId="26226A74" w14:textId="77777777" w:rsidR="007D579E" w:rsidRPr="007D579E" w:rsidRDefault="007D579E" w:rsidP="007D579E">
      <w:proofErr w:type="gramStart"/>
      <w:r w:rsidRPr="007D579E">
        <w:t>  The</w:t>
      </w:r>
      <w:proofErr w:type="gramEnd"/>
      <w:r w:rsidRPr="007D579E">
        <w:t xml:space="preserve"> chart compares the number of customers who </w:t>
      </w:r>
      <w:r w:rsidRPr="007D579E">
        <w:rPr>
          <w:b/>
          <w:bCs/>
        </w:rPr>
        <w:t>churned (Yes)</w:t>
      </w:r>
      <w:r w:rsidRPr="007D579E">
        <w:t xml:space="preserve"> vs </w:t>
      </w:r>
      <w:r w:rsidRPr="007D579E">
        <w:rPr>
          <w:b/>
          <w:bCs/>
        </w:rPr>
        <w:t>retained (No)</w:t>
      </w:r>
      <w:r w:rsidRPr="007D579E">
        <w:t>.</w:t>
      </w:r>
    </w:p>
    <w:p w14:paraId="115AB72A" w14:textId="77777777" w:rsidR="007D579E" w:rsidRPr="007D579E" w:rsidRDefault="007D579E" w:rsidP="007D579E">
      <w:proofErr w:type="gramStart"/>
      <w:r w:rsidRPr="007D579E">
        <w:t xml:space="preserve">  </w:t>
      </w:r>
      <w:r w:rsidRPr="007D579E">
        <w:rPr>
          <w:b/>
          <w:bCs/>
        </w:rPr>
        <w:t>5174</w:t>
      </w:r>
      <w:proofErr w:type="gramEnd"/>
      <w:r w:rsidRPr="007D579E">
        <w:rPr>
          <w:b/>
          <w:bCs/>
        </w:rPr>
        <w:t xml:space="preserve"> customers did not churn</w:t>
      </w:r>
      <w:r w:rsidRPr="007D579E">
        <w:t xml:space="preserve">, while </w:t>
      </w:r>
      <w:r w:rsidRPr="007D579E">
        <w:rPr>
          <w:b/>
          <w:bCs/>
        </w:rPr>
        <w:t>1869 customers did</w:t>
      </w:r>
      <w:r w:rsidRPr="007D579E">
        <w:t>, indicating a churn rate of ~26.5%.</w:t>
      </w:r>
    </w:p>
    <w:p w14:paraId="6031839F" w14:textId="77777777" w:rsidR="007D579E" w:rsidRPr="007D579E" w:rsidRDefault="007D579E" w:rsidP="007D579E">
      <w:proofErr w:type="gramStart"/>
      <w:r w:rsidRPr="007D579E">
        <w:t>  Bar</w:t>
      </w:r>
      <w:proofErr w:type="gramEnd"/>
      <w:r w:rsidRPr="007D579E">
        <w:t xml:space="preserve"> labels were added for clarity using </w:t>
      </w:r>
      <w:proofErr w:type="spellStart"/>
      <w:r w:rsidRPr="007D579E">
        <w:t>ax.bar_</w:t>
      </w:r>
      <w:proofErr w:type="gramStart"/>
      <w:r w:rsidRPr="007D579E">
        <w:t>label</w:t>
      </w:r>
      <w:proofErr w:type="spellEnd"/>
      <w:r w:rsidRPr="007D579E">
        <w:t>(</w:t>
      </w:r>
      <w:proofErr w:type="gramEnd"/>
      <w:r w:rsidRPr="007D579E">
        <w:t>).</w:t>
      </w:r>
    </w:p>
    <w:p w14:paraId="669361E5" w14:textId="77777777" w:rsidR="007D579E" w:rsidRPr="007D579E" w:rsidRDefault="007D579E" w:rsidP="007D579E">
      <w:proofErr w:type="gramStart"/>
      <w:r w:rsidRPr="007D579E">
        <w:t>  This</w:t>
      </w:r>
      <w:proofErr w:type="gramEnd"/>
      <w:r w:rsidRPr="007D579E">
        <w:t xml:space="preserve"> plot highlights a key business challenge: </w:t>
      </w:r>
      <w:r w:rsidRPr="007D579E">
        <w:rPr>
          <w:b/>
          <w:bCs/>
        </w:rPr>
        <w:t>retaining nearly 27% of the customer base</w:t>
      </w:r>
    </w:p>
    <w:p w14:paraId="5E93DB0E" w14:textId="76EAA385" w:rsidR="007D579E" w:rsidRDefault="007D579E">
      <w:r>
        <w:br w:type="page"/>
      </w:r>
    </w:p>
    <w:p w14:paraId="140D672F" w14:textId="2D659119" w:rsidR="007D579E" w:rsidRDefault="007D579E" w:rsidP="007D579E">
      <w:pPr>
        <w:ind w:firstLine="720"/>
      </w:pPr>
    </w:p>
    <w:p w14:paraId="43616732" w14:textId="77777777" w:rsidR="007D579E" w:rsidRDefault="007D579E">
      <w:r>
        <w:rPr>
          <w:noProof/>
        </w:rPr>
        <w:drawing>
          <wp:inline distT="0" distB="0" distL="0" distR="0" wp14:anchorId="2F9D8B1A" wp14:editId="1362E08A">
            <wp:extent cx="5943600" cy="2275205"/>
            <wp:effectExtent l="0" t="0" r="0" b="0"/>
            <wp:docPr id="10594310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AD08A" w14:textId="77777777" w:rsidR="007D579E" w:rsidRPr="007D579E" w:rsidRDefault="007D579E" w:rsidP="007D579E">
      <w:proofErr w:type="gramStart"/>
      <w:r w:rsidRPr="007D579E">
        <w:t>  A</w:t>
      </w:r>
      <w:proofErr w:type="gramEnd"/>
      <w:r w:rsidRPr="007D579E">
        <w:t xml:space="preserve"> </w:t>
      </w:r>
      <w:r w:rsidRPr="007D579E">
        <w:rPr>
          <w:b/>
          <w:bCs/>
        </w:rPr>
        <w:t>pie chart</w:t>
      </w:r>
      <w:r w:rsidRPr="007D579E">
        <w:t xml:space="preserve"> was plotted to visualize the </w:t>
      </w:r>
      <w:r w:rsidRPr="007D579E">
        <w:rPr>
          <w:b/>
          <w:bCs/>
        </w:rPr>
        <w:t>percentage of churned vs retained customers</w:t>
      </w:r>
      <w:r w:rsidRPr="007D579E">
        <w:t>.</w:t>
      </w:r>
    </w:p>
    <w:p w14:paraId="269F314D" w14:textId="77777777" w:rsidR="007D579E" w:rsidRPr="007D579E" w:rsidRDefault="007D579E" w:rsidP="007D579E">
      <w:proofErr w:type="gramStart"/>
      <w:r w:rsidRPr="007D579E">
        <w:t>  Using</w:t>
      </w:r>
      <w:proofErr w:type="gramEnd"/>
      <w:r w:rsidRPr="007D579E">
        <w:t xml:space="preserve"> </w:t>
      </w:r>
      <w:proofErr w:type="spellStart"/>
      <w:proofErr w:type="gramStart"/>
      <w:r w:rsidRPr="007D579E">
        <w:t>groupby</w:t>
      </w:r>
      <w:proofErr w:type="spellEnd"/>
      <w:r w:rsidRPr="007D579E">
        <w:t>(</w:t>
      </w:r>
      <w:proofErr w:type="gramEnd"/>
      <w:r w:rsidRPr="007D579E">
        <w:t xml:space="preserve">) and </w:t>
      </w:r>
      <w:proofErr w:type="spellStart"/>
      <w:proofErr w:type="gramStart"/>
      <w:r w:rsidRPr="007D579E">
        <w:t>agg</w:t>
      </w:r>
      <w:proofErr w:type="spellEnd"/>
      <w:r w:rsidRPr="007D579E">
        <w:t>(</w:t>
      </w:r>
      <w:proofErr w:type="gramEnd"/>
      <w:r w:rsidRPr="007D579E">
        <w:t>), customer churn counts were calculated and visualized.</w:t>
      </w:r>
    </w:p>
    <w:p w14:paraId="4433117E" w14:textId="77777777" w:rsidR="007D579E" w:rsidRPr="007D579E" w:rsidRDefault="007D579E" w:rsidP="007D579E">
      <w:proofErr w:type="gramStart"/>
      <w:r w:rsidRPr="007D579E">
        <w:t>  The</w:t>
      </w:r>
      <w:proofErr w:type="gramEnd"/>
      <w:r w:rsidRPr="007D579E">
        <w:t xml:space="preserve"> chart reveals that </w:t>
      </w:r>
      <w:r w:rsidRPr="007D579E">
        <w:rPr>
          <w:b/>
          <w:bCs/>
        </w:rPr>
        <w:t>26.54% of customers churned</w:t>
      </w:r>
      <w:r w:rsidRPr="007D579E">
        <w:t xml:space="preserve">, while </w:t>
      </w:r>
      <w:r w:rsidRPr="007D579E">
        <w:rPr>
          <w:b/>
          <w:bCs/>
        </w:rPr>
        <w:t>73.46% stayed</w:t>
      </w:r>
      <w:r w:rsidRPr="007D579E">
        <w:t>.</w:t>
      </w:r>
    </w:p>
    <w:p w14:paraId="7632E34A" w14:textId="77777777" w:rsidR="007D579E" w:rsidRPr="007D579E" w:rsidRDefault="007D579E" w:rsidP="007D579E">
      <w:proofErr w:type="gramStart"/>
      <w:r w:rsidRPr="007D579E">
        <w:t>  This</w:t>
      </w:r>
      <w:proofErr w:type="gramEnd"/>
      <w:r w:rsidRPr="007D579E">
        <w:t xml:space="preserve"> percentage was displayed using </w:t>
      </w:r>
      <w:proofErr w:type="spellStart"/>
      <w:r w:rsidRPr="007D579E">
        <w:t>autopct</w:t>
      </w:r>
      <w:proofErr w:type="spellEnd"/>
      <w:r w:rsidRPr="007D579E">
        <w:t xml:space="preserve"> formatting in the pie chart.</w:t>
      </w:r>
    </w:p>
    <w:p w14:paraId="194689E4" w14:textId="77777777" w:rsidR="007D579E" w:rsidRPr="007D579E" w:rsidRDefault="007D579E" w:rsidP="007D579E">
      <w:proofErr w:type="gramStart"/>
      <w:r w:rsidRPr="007D579E">
        <w:t>  It</w:t>
      </w:r>
      <w:proofErr w:type="gramEnd"/>
      <w:r w:rsidRPr="007D579E">
        <w:t xml:space="preserve"> sets the stage to explore </w:t>
      </w:r>
      <w:r w:rsidRPr="007D579E">
        <w:rPr>
          <w:b/>
          <w:bCs/>
        </w:rPr>
        <w:t>key drivers behind customer churn</w:t>
      </w:r>
      <w:r w:rsidRPr="007D579E">
        <w:t xml:space="preserve"> for retention strategies.</w:t>
      </w:r>
    </w:p>
    <w:p w14:paraId="2C7C40D4" w14:textId="534CC654" w:rsidR="007D579E" w:rsidRDefault="007D579E">
      <w:r>
        <w:br w:type="page"/>
      </w:r>
    </w:p>
    <w:p w14:paraId="77811091" w14:textId="2B1A50D1" w:rsidR="007D579E" w:rsidRDefault="007D579E" w:rsidP="007D579E">
      <w:pPr>
        <w:ind w:firstLine="720"/>
      </w:pPr>
      <w:r>
        <w:rPr>
          <w:noProof/>
        </w:rPr>
        <w:lastRenderedPageBreak/>
        <w:drawing>
          <wp:inline distT="0" distB="0" distL="0" distR="0" wp14:anchorId="6DE9BB82" wp14:editId="34B5AF0B">
            <wp:extent cx="5943600" cy="2103120"/>
            <wp:effectExtent l="0" t="0" r="0" b="0"/>
            <wp:docPr id="21048904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16DE" w14:textId="77777777" w:rsidR="007D579E" w:rsidRPr="007D579E" w:rsidRDefault="007D579E" w:rsidP="007D579E">
      <w:proofErr w:type="gramStart"/>
      <w:r w:rsidRPr="007D579E">
        <w:t>  A</w:t>
      </w:r>
      <w:proofErr w:type="gramEnd"/>
      <w:r w:rsidRPr="007D579E">
        <w:t xml:space="preserve"> </w:t>
      </w:r>
      <w:r w:rsidRPr="007D579E">
        <w:rPr>
          <w:b/>
          <w:bCs/>
        </w:rPr>
        <w:t xml:space="preserve">Seaborn </w:t>
      </w:r>
      <w:proofErr w:type="spellStart"/>
      <w:r w:rsidRPr="007D579E">
        <w:rPr>
          <w:b/>
          <w:bCs/>
        </w:rPr>
        <w:t>countplot</w:t>
      </w:r>
      <w:proofErr w:type="spellEnd"/>
      <w:r w:rsidRPr="007D579E">
        <w:t xml:space="preserve"> was used to visualize customer churn by </w:t>
      </w:r>
      <w:r w:rsidRPr="007D579E">
        <w:rPr>
          <w:b/>
          <w:bCs/>
        </w:rPr>
        <w:t>gender</w:t>
      </w:r>
      <w:r w:rsidRPr="007D579E">
        <w:t>.</w:t>
      </w:r>
    </w:p>
    <w:p w14:paraId="790D0B8D" w14:textId="77777777" w:rsidR="007D579E" w:rsidRPr="007D579E" w:rsidRDefault="007D579E" w:rsidP="007D579E">
      <w:proofErr w:type="gramStart"/>
      <w:r w:rsidRPr="007D579E">
        <w:t>  The</w:t>
      </w:r>
      <w:proofErr w:type="gramEnd"/>
      <w:r w:rsidRPr="007D579E">
        <w:t xml:space="preserve"> chart compares </w:t>
      </w:r>
      <w:r w:rsidRPr="007D579E">
        <w:rPr>
          <w:b/>
          <w:bCs/>
        </w:rPr>
        <w:t>male and female</w:t>
      </w:r>
      <w:r w:rsidRPr="007D579E">
        <w:t xml:space="preserve"> customers who churned vs retained.</w:t>
      </w:r>
    </w:p>
    <w:p w14:paraId="04811650" w14:textId="77777777" w:rsidR="007D579E" w:rsidRPr="007D579E" w:rsidRDefault="007D579E" w:rsidP="007D579E">
      <w:proofErr w:type="gramStart"/>
      <w:r w:rsidRPr="007D579E">
        <w:t>  Both</w:t>
      </w:r>
      <w:proofErr w:type="gramEnd"/>
      <w:r w:rsidRPr="007D579E">
        <w:t xml:space="preserve"> genders show a </w:t>
      </w:r>
      <w:r w:rsidRPr="007D579E">
        <w:rPr>
          <w:b/>
          <w:bCs/>
        </w:rPr>
        <w:t>similar churn pattern</w:t>
      </w:r>
      <w:r w:rsidRPr="007D579E">
        <w:t>, with slightly more male customers in total.</w:t>
      </w:r>
    </w:p>
    <w:p w14:paraId="6741B8BA" w14:textId="77777777" w:rsidR="007D579E" w:rsidRPr="007D579E" w:rsidRDefault="007D579E" w:rsidP="007D579E">
      <w:proofErr w:type="gramStart"/>
      <w:r w:rsidRPr="007D579E">
        <w:t>  Churn</w:t>
      </w:r>
      <w:proofErr w:type="gramEnd"/>
      <w:r w:rsidRPr="007D579E">
        <w:t xml:space="preserve"> rates between </w:t>
      </w:r>
      <w:r w:rsidRPr="007D579E">
        <w:rPr>
          <w:b/>
          <w:bCs/>
        </w:rPr>
        <w:t>male and female customers are almost balanced</w:t>
      </w:r>
      <w:r w:rsidRPr="007D579E">
        <w:t xml:space="preserve">, indicating </w:t>
      </w:r>
      <w:r w:rsidRPr="007D579E">
        <w:rPr>
          <w:b/>
          <w:bCs/>
        </w:rPr>
        <w:t>gender is not a strong churn predictor</w:t>
      </w:r>
      <w:r w:rsidRPr="007D579E">
        <w:t>.</w:t>
      </w:r>
    </w:p>
    <w:p w14:paraId="5F58A437" w14:textId="77777777" w:rsidR="007D579E" w:rsidRPr="007D579E" w:rsidRDefault="007D579E" w:rsidP="007D579E">
      <w:proofErr w:type="gramStart"/>
      <w:r w:rsidRPr="007D579E">
        <w:t>  This</w:t>
      </w:r>
      <w:proofErr w:type="gramEnd"/>
      <w:r w:rsidRPr="007D579E">
        <w:t xml:space="preserve"> insight helps businesses focus on more impactful churn drivers beyond gender.</w:t>
      </w:r>
    </w:p>
    <w:p w14:paraId="02B22348" w14:textId="77777777" w:rsidR="007D579E" w:rsidRDefault="007D579E">
      <w:r>
        <w:br w:type="page"/>
      </w:r>
    </w:p>
    <w:p w14:paraId="7F668E9A" w14:textId="2B8BE5FD" w:rsidR="007D579E" w:rsidRDefault="007D579E" w:rsidP="007D579E">
      <w:pPr>
        <w:ind w:firstLine="720"/>
      </w:pPr>
    </w:p>
    <w:p w14:paraId="6ABC3789" w14:textId="77777777" w:rsidR="00BE46F0" w:rsidRDefault="007D579E">
      <w:r>
        <w:rPr>
          <w:noProof/>
        </w:rPr>
        <w:drawing>
          <wp:inline distT="0" distB="0" distL="0" distR="0" wp14:anchorId="08A31F4E" wp14:editId="5915CF11">
            <wp:extent cx="5943600" cy="3097530"/>
            <wp:effectExtent l="0" t="0" r="0" b="7620"/>
            <wp:docPr id="9857259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AF608" w14:textId="77777777" w:rsidR="00BE46F0" w:rsidRPr="00BE46F0" w:rsidRDefault="00BE46F0" w:rsidP="00BE46F0">
      <w:r w:rsidRPr="00BE46F0">
        <w:t>Here’s a crisp set of insights from your bar plot on senior citizen customers:</w:t>
      </w:r>
    </w:p>
    <w:p w14:paraId="084D6E6C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📊</w:t>
      </w:r>
      <w:r w:rsidRPr="00BE46F0">
        <w:t xml:space="preserve"> </w:t>
      </w:r>
      <w:r w:rsidRPr="00BE46F0">
        <w:rPr>
          <w:b/>
          <w:bCs/>
        </w:rPr>
        <w:t>Dominance of Non-Senior Customers</w:t>
      </w:r>
      <w:r w:rsidRPr="00BE46F0">
        <w:t xml:space="preserve">: The majority of customers are non-senior citizens, with a count of </w:t>
      </w:r>
      <w:r w:rsidRPr="00BE46F0">
        <w:rPr>
          <w:b/>
          <w:bCs/>
        </w:rPr>
        <w:t>5901</w:t>
      </w:r>
      <w:r w:rsidRPr="00BE46F0">
        <w:t xml:space="preserve"> compared to </w:t>
      </w:r>
      <w:r w:rsidRPr="00BE46F0">
        <w:rPr>
          <w:b/>
          <w:bCs/>
        </w:rPr>
        <w:t>1142</w:t>
      </w:r>
      <w:r w:rsidRPr="00BE46F0">
        <w:t xml:space="preserve"> seniors.</w:t>
      </w:r>
    </w:p>
    <w:p w14:paraId="1D91CCB9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🧓</w:t>
      </w:r>
      <w:r w:rsidRPr="00BE46F0">
        <w:t xml:space="preserve"> </w:t>
      </w:r>
      <w:r w:rsidRPr="00BE46F0">
        <w:rPr>
          <w:b/>
          <w:bCs/>
        </w:rPr>
        <w:t>Senior Segment is Significant</w:t>
      </w:r>
      <w:r w:rsidRPr="00BE46F0">
        <w:t>: Though smaller, the senior citizen group represents a notable portion—useful for targeted services or marketing.</w:t>
      </w:r>
    </w:p>
    <w:p w14:paraId="7D67A47A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📉</w:t>
      </w:r>
      <w:r w:rsidRPr="00BE46F0">
        <w:t xml:space="preserve"> </w:t>
      </w:r>
      <w:r w:rsidRPr="00BE46F0">
        <w:rPr>
          <w:b/>
          <w:bCs/>
        </w:rPr>
        <w:t>Potential Age Bias</w:t>
      </w:r>
      <w:r w:rsidRPr="00BE46F0">
        <w:t>: This disparity could reflect age-related preferences in product offerings, pricing, or accessibility.</w:t>
      </w:r>
    </w:p>
    <w:p w14:paraId="0C1DE345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📈</w:t>
      </w:r>
      <w:r w:rsidRPr="00BE46F0">
        <w:t xml:space="preserve"> </w:t>
      </w:r>
      <w:r w:rsidRPr="00BE46F0">
        <w:rPr>
          <w:b/>
          <w:bCs/>
        </w:rPr>
        <w:t>Data Shaping Opportunities</w:t>
      </w:r>
      <w:r w:rsidRPr="00BE46F0">
        <w:t>: Segmenting based on age can uncover hidden trends in retention, satisfaction, or spending.</w:t>
      </w:r>
    </w:p>
    <w:p w14:paraId="71A486C9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🎯</w:t>
      </w:r>
      <w:r w:rsidRPr="00BE46F0">
        <w:t xml:space="preserve"> </w:t>
      </w:r>
      <w:r w:rsidRPr="00BE46F0">
        <w:rPr>
          <w:b/>
          <w:bCs/>
        </w:rPr>
        <w:t>Business Strategy Insight</w:t>
      </w:r>
      <w:r w:rsidRPr="00BE46F0">
        <w:t>: Companies might explore tailored engagement strategies for senior citizens to boost inclusivity and conversions.</w:t>
      </w:r>
    </w:p>
    <w:p w14:paraId="4FD3BA1D" w14:textId="77777777" w:rsidR="00BE46F0" w:rsidRPr="00BE46F0" w:rsidRDefault="00BE46F0" w:rsidP="00BE46F0">
      <w:r w:rsidRPr="00BE46F0">
        <w:t>Let me know if you'd like to generate a customer age-wise distribution next!</w:t>
      </w:r>
    </w:p>
    <w:p w14:paraId="3102EFEB" w14:textId="1C6506A2" w:rsidR="007D579E" w:rsidRDefault="007D579E">
      <w:r>
        <w:br w:type="page"/>
      </w:r>
    </w:p>
    <w:p w14:paraId="2EDE91CB" w14:textId="3FF7CE4F" w:rsidR="007D579E" w:rsidRDefault="007D579E" w:rsidP="007D579E">
      <w:pPr>
        <w:ind w:firstLine="720"/>
      </w:pPr>
    </w:p>
    <w:p w14:paraId="16E4E484" w14:textId="77777777" w:rsidR="00BE46F0" w:rsidRDefault="00BE46F0">
      <w:r>
        <w:rPr>
          <w:noProof/>
        </w:rPr>
        <w:drawing>
          <wp:inline distT="0" distB="0" distL="0" distR="0" wp14:anchorId="1BABF21E" wp14:editId="18CA2E79">
            <wp:extent cx="4792980" cy="4122680"/>
            <wp:effectExtent l="0" t="0" r="7620" b="0"/>
            <wp:docPr id="3269881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14" cy="412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2A2B" w14:textId="77777777" w:rsidR="00BE46F0" w:rsidRPr="00BE46F0" w:rsidRDefault="00BE46F0" w:rsidP="00BE46F0">
      <w:r w:rsidRPr="00BE46F0">
        <w:t>Here are five crisp insights from your stacked bar chart comparing churn rates by senior citizen status:</w:t>
      </w:r>
    </w:p>
    <w:p w14:paraId="5A7155CA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📊</w:t>
      </w:r>
      <w:r w:rsidRPr="00BE46F0">
        <w:t xml:space="preserve"> </w:t>
      </w:r>
      <w:r w:rsidRPr="00BE46F0">
        <w:rPr>
          <w:b/>
          <w:bCs/>
        </w:rPr>
        <w:t>Higher Churn Among Seniors</w:t>
      </w:r>
      <w:r w:rsidRPr="00BE46F0">
        <w:t xml:space="preserve">: Over </w:t>
      </w:r>
      <w:r w:rsidRPr="00BE46F0">
        <w:rPr>
          <w:b/>
          <w:bCs/>
        </w:rPr>
        <w:t>40%</w:t>
      </w:r>
      <w:r w:rsidRPr="00BE46F0">
        <w:t xml:space="preserve"> of senior citizens have churned—almost double the rate of non-senior customers.</w:t>
      </w:r>
    </w:p>
    <w:p w14:paraId="48F4F9A1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🔍</w:t>
      </w:r>
      <w:r w:rsidRPr="00BE46F0">
        <w:t xml:space="preserve"> </w:t>
      </w:r>
      <w:r w:rsidRPr="00BE46F0">
        <w:rPr>
          <w:b/>
          <w:bCs/>
        </w:rPr>
        <w:t>Non-Senior Retention Strength</w:t>
      </w:r>
      <w:r w:rsidRPr="00BE46F0">
        <w:t xml:space="preserve">: Non-senior citizens show stronger retention, with nearly </w:t>
      </w:r>
      <w:r w:rsidRPr="00BE46F0">
        <w:rPr>
          <w:b/>
          <w:bCs/>
        </w:rPr>
        <w:t>73%</w:t>
      </w:r>
      <w:r w:rsidRPr="00BE46F0">
        <w:t xml:space="preserve"> staying loyal.</w:t>
      </w:r>
    </w:p>
    <w:p w14:paraId="791967C2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🎯</w:t>
      </w:r>
      <w:r w:rsidRPr="00BE46F0">
        <w:t xml:space="preserve"> </w:t>
      </w:r>
      <w:r w:rsidRPr="00BE46F0">
        <w:rPr>
          <w:b/>
          <w:bCs/>
        </w:rPr>
        <w:t>Targeted Retention Strategy Needed</w:t>
      </w:r>
      <w:r w:rsidRPr="00BE46F0">
        <w:t>: Senior citizens may need customized offers or improved support to reduce churn.</w:t>
      </w:r>
    </w:p>
    <w:p w14:paraId="5EAE683F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📉</w:t>
      </w:r>
      <w:r w:rsidRPr="00BE46F0">
        <w:t xml:space="preserve"> </w:t>
      </w:r>
      <w:r w:rsidRPr="00BE46F0">
        <w:rPr>
          <w:b/>
          <w:bCs/>
        </w:rPr>
        <w:t>Customer Vulnerability Indicator</w:t>
      </w:r>
      <w:r w:rsidRPr="00BE46F0">
        <w:t>: Age seems to correlate with churn risk—an opportunity for deeper predictive analysis.</w:t>
      </w:r>
    </w:p>
    <w:p w14:paraId="63E232F1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🛠️</w:t>
      </w:r>
      <w:r w:rsidRPr="00BE46F0">
        <w:t xml:space="preserve"> </w:t>
      </w:r>
      <w:r w:rsidRPr="00BE46F0">
        <w:rPr>
          <w:b/>
          <w:bCs/>
        </w:rPr>
        <w:t>Segmented Insights Fuel Strategy</w:t>
      </w:r>
      <w:r w:rsidRPr="00BE46F0">
        <w:t>: This age-wise churn segmentation can guide more efficient customer engagement models.</w:t>
      </w:r>
    </w:p>
    <w:p w14:paraId="20B28C16" w14:textId="1F6593D4" w:rsidR="007D579E" w:rsidRDefault="007D579E">
      <w:r>
        <w:br w:type="page"/>
      </w:r>
    </w:p>
    <w:p w14:paraId="125AC9AE" w14:textId="31AC1F20" w:rsidR="007D579E" w:rsidRDefault="00BE46F0" w:rsidP="007D579E">
      <w:pPr>
        <w:ind w:firstLine="720"/>
      </w:pPr>
      <w:r>
        <w:rPr>
          <w:noProof/>
        </w:rPr>
        <w:lastRenderedPageBreak/>
        <w:drawing>
          <wp:inline distT="0" distB="0" distL="0" distR="0" wp14:anchorId="74A28BB1" wp14:editId="2D6F5BEB">
            <wp:extent cx="5943600" cy="2943225"/>
            <wp:effectExtent l="0" t="0" r="0" b="9525"/>
            <wp:docPr id="10465221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3322" w14:textId="77777777" w:rsidR="00BE46F0" w:rsidRPr="00BE46F0" w:rsidRDefault="00BE46F0" w:rsidP="00BE46F0">
      <w:r w:rsidRPr="00BE46F0">
        <w:t>Here are five sharp insights from your histogram on tenure and churn status:</w:t>
      </w:r>
    </w:p>
    <w:p w14:paraId="16F66317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📆</w:t>
      </w:r>
      <w:r w:rsidRPr="00BE46F0">
        <w:t xml:space="preserve"> </w:t>
      </w:r>
      <w:r w:rsidRPr="00BE46F0">
        <w:rPr>
          <w:b/>
          <w:bCs/>
        </w:rPr>
        <w:t>Early Churn is Critical</w:t>
      </w:r>
      <w:r w:rsidRPr="00BE46F0">
        <w:t xml:space="preserve">: The highest churn occurs within the first </w:t>
      </w:r>
      <w:r w:rsidRPr="00BE46F0">
        <w:rPr>
          <w:b/>
          <w:bCs/>
        </w:rPr>
        <w:t>2 months</w:t>
      </w:r>
      <w:r w:rsidRPr="00BE46F0">
        <w:t>—a danger zone for losing new customers.</w:t>
      </w:r>
    </w:p>
    <w:p w14:paraId="054424A1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📊</w:t>
      </w:r>
      <w:r w:rsidRPr="00BE46F0">
        <w:t xml:space="preserve"> </w:t>
      </w:r>
      <w:r w:rsidRPr="00BE46F0">
        <w:rPr>
          <w:b/>
          <w:bCs/>
        </w:rPr>
        <w:t>Tenure Correlates with Loyalty</w:t>
      </w:r>
      <w:r w:rsidRPr="00BE46F0">
        <w:t xml:space="preserve">: Customers who’ve stayed </w:t>
      </w:r>
      <w:r w:rsidRPr="00BE46F0">
        <w:rPr>
          <w:b/>
          <w:bCs/>
        </w:rPr>
        <w:t>60+ months</w:t>
      </w:r>
      <w:r w:rsidRPr="00BE46F0">
        <w:t xml:space="preserve"> show near-zero churn, reflecting strong satisfaction or contractual ties.</w:t>
      </w:r>
    </w:p>
    <w:p w14:paraId="223DE71B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🧠</w:t>
      </w:r>
      <w:r w:rsidRPr="00BE46F0">
        <w:t xml:space="preserve"> </w:t>
      </w:r>
      <w:r w:rsidRPr="00BE46F0">
        <w:rPr>
          <w:b/>
          <w:bCs/>
        </w:rPr>
        <w:t>Retention Strategy Opportunity</w:t>
      </w:r>
      <w:r w:rsidRPr="00BE46F0">
        <w:t>: Improving onboarding and early support could drastically reduce churn in the first quarter.</w:t>
      </w:r>
    </w:p>
    <w:p w14:paraId="3BD7B1E4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🎯</w:t>
      </w:r>
      <w:r w:rsidRPr="00BE46F0">
        <w:t xml:space="preserve"> </w:t>
      </w:r>
      <w:r w:rsidRPr="00BE46F0">
        <w:rPr>
          <w:b/>
          <w:bCs/>
        </w:rPr>
        <w:t>Segment-Wise Insights Matter</w:t>
      </w:r>
      <w:r w:rsidRPr="00BE46F0">
        <w:t>: Mid-tenure customers (20–50 months) show mixed churn—worth analyzing based on product or service experience.</w:t>
      </w:r>
    </w:p>
    <w:p w14:paraId="5CD04710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🔍</w:t>
      </w:r>
      <w:r w:rsidRPr="00BE46F0">
        <w:t xml:space="preserve"> </w:t>
      </w:r>
      <w:r w:rsidRPr="00BE46F0">
        <w:rPr>
          <w:b/>
          <w:bCs/>
        </w:rPr>
        <w:t>Predictive Modeling Potential</w:t>
      </w:r>
      <w:r w:rsidRPr="00BE46F0">
        <w:t>: Tenure could be a powerful feature in churn prediction models, especially when layered with payment type or contract length.</w:t>
      </w:r>
    </w:p>
    <w:p w14:paraId="238E0FE2" w14:textId="62AC2625" w:rsidR="00BE46F0" w:rsidRPr="00BE46F0" w:rsidRDefault="007D579E" w:rsidP="00BE46F0">
      <w:r>
        <w:br w:type="page"/>
      </w:r>
    </w:p>
    <w:p w14:paraId="16F6CC8B" w14:textId="2AA4731C" w:rsidR="007D579E" w:rsidRDefault="00BE46F0">
      <w:r>
        <w:rPr>
          <w:noProof/>
        </w:rPr>
        <w:lastRenderedPageBreak/>
        <w:drawing>
          <wp:inline distT="0" distB="0" distL="0" distR="0" wp14:anchorId="702BE24D" wp14:editId="21160A7A">
            <wp:extent cx="5943600" cy="3553460"/>
            <wp:effectExtent l="0" t="0" r="0" b="8890"/>
            <wp:docPr id="15987589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4AD22" w14:textId="3842A068" w:rsidR="007D579E" w:rsidRDefault="007D579E" w:rsidP="007D579E">
      <w:pPr>
        <w:ind w:firstLine="720"/>
      </w:pPr>
    </w:p>
    <w:p w14:paraId="2E5031B9" w14:textId="77777777" w:rsidR="00BE46F0" w:rsidRPr="00BE46F0" w:rsidRDefault="00BE46F0" w:rsidP="00BE46F0">
      <w:r w:rsidRPr="00BE46F0">
        <w:t>Here are five smart takeaways from your bar plot comparing contract types and churn:</w:t>
      </w:r>
    </w:p>
    <w:p w14:paraId="5590521C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📉</w:t>
      </w:r>
      <w:r w:rsidRPr="00BE46F0">
        <w:t xml:space="preserve"> </w:t>
      </w:r>
      <w:r w:rsidRPr="00BE46F0">
        <w:rPr>
          <w:b/>
          <w:bCs/>
        </w:rPr>
        <w:t>Month-to-Month Drives Churn</w:t>
      </w:r>
      <w:r w:rsidRPr="00BE46F0">
        <w:t>: Customers on month-to-month contracts show the highest churn—highlighting the vulnerability of flexible plans.</w:t>
      </w:r>
    </w:p>
    <w:p w14:paraId="1CAAED17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📈</w:t>
      </w:r>
      <w:r w:rsidRPr="00BE46F0">
        <w:t xml:space="preserve"> </w:t>
      </w:r>
      <w:r w:rsidRPr="00BE46F0">
        <w:rPr>
          <w:b/>
          <w:bCs/>
        </w:rPr>
        <w:t>Long-Term Contracts Retain Better</w:t>
      </w:r>
      <w:r w:rsidRPr="00BE46F0">
        <w:t>: One- and two-year contracts have stronger customer retention, likely due to commitment incentives or loyalty programs.</w:t>
      </w:r>
    </w:p>
    <w:p w14:paraId="64565AED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🧠</w:t>
      </w:r>
      <w:r w:rsidRPr="00BE46F0">
        <w:t xml:space="preserve"> </w:t>
      </w:r>
      <w:r w:rsidRPr="00BE46F0">
        <w:rPr>
          <w:b/>
          <w:bCs/>
        </w:rPr>
        <w:t>Contract Type = Strategic Lever</w:t>
      </w:r>
      <w:r w:rsidRPr="00BE46F0">
        <w:t>: This pattern suggests that tweaking contract terms could help control churn—like offering discounts on longer commitments.</w:t>
      </w:r>
    </w:p>
    <w:p w14:paraId="5FEB328D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🎯</w:t>
      </w:r>
      <w:r w:rsidRPr="00BE46F0">
        <w:t xml:space="preserve"> </w:t>
      </w:r>
      <w:r w:rsidRPr="00BE46F0">
        <w:rPr>
          <w:b/>
          <w:bCs/>
        </w:rPr>
        <w:t>Retention Tactics by Segment</w:t>
      </w:r>
      <w:r w:rsidRPr="00BE46F0">
        <w:t>: Month-to-month users may need stronger onboarding, perks, or renewal nudges to reduce dropout risk.</w:t>
      </w:r>
    </w:p>
    <w:p w14:paraId="5CFF401C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🔍</w:t>
      </w:r>
      <w:r w:rsidRPr="00BE46F0">
        <w:t xml:space="preserve"> </w:t>
      </w:r>
      <w:r w:rsidRPr="00BE46F0">
        <w:rPr>
          <w:b/>
          <w:bCs/>
        </w:rPr>
        <w:t>Visual Confirmation</w:t>
      </w:r>
      <w:r w:rsidRPr="00BE46F0">
        <w:t>: The distinct orange spike for month-to-month churned customers backs the conclusion—short contracts correlate with high exit rates.</w:t>
      </w:r>
    </w:p>
    <w:p w14:paraId="6BDCCB3F" w14:textId="0255BD6A" w:rsidR="00BE46F0" w:rsidRPr="00BE46F0" w:rsidRDefault="007D579E" w:rsidP="00BE46F0">
      <w:r>
        <w:br w:type="page"/>
      </w:r>
    </w:p>
    <w:p w14:paraId="106E29E0" w14:textId="1FD47C55" w:rsidR="00BE46F0" w:rsidRPr="00BE46F0" w:rsidRDefault="00BE46F0" w:rsidP="00BE46F0">
      <w:r>
        <w:rPr>
          <w:noProof/>
        </w:rPr>
        <w:lastRenderedPageBreak/>
        <w:drawing>
          <wp:inline distT="0" distB="0" distL="0" distR="0" wp14:anchorId="375AB4F8" wp14:editId="30E270FC">
            <wp:extent cx="3223018" cy="4183380"/>
            <wp:effectExtent l="0" t="0" r="0" b="7620"/>
            <wp:docPr id="2926714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72" cy="419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8128" w14:textId="6D491EC2" w:rsidR="007D579E" w:rsidRDefault="007D579E"/>
    <w:p w14:paraId="5F90275A" w14:textId="493BAA71" w:rsidR="007D579E" w:rsidRDefault="007D579E" w:rsidP="007D579E">
      <w:pPr>
        <w:ind w:firstLine="720"/>
      </w:pPr>
    </w:p>
    <w:p w14:paraId="1599B06C" w14:textId="77777777" w:rsidR="00BE46F0" w:rsidRPr="00BE46F0" w:rsidRDefault="00BE46F0" w:rsidP="00BE46F0">
      <w:r w:rsidRPr="00BE46F0">
        <w:t>Here are five focused insights from your multi-panel service churn chart:</w:t>
      </w:r>
    </w:p>
    <w:p w14:paraId="4411E704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📉</w:t>
      </w:r>
      <w:r w:rsidRPr="00BE46F0">
        <w:t xml:space="preserve"> </w:t>
      </w:r>
      <w:r w:rsidRPr="00BE46F0">
        <w:rPr>
          <w:b/>
          <w:bCs/>
        </w:rPr>
        <w:t>Lack of Services = High Churn</w:t>
      </w:r>
      <w:r w:rsidRPr="00BE46F0">
        <w:t xml:space="preserve">: Customers not subscribed to services like </w:t>
      </w:r>
      <w:proofErr w:type="spellStart"/>
      <w:r w:rsidRPr="00BE46F0">
        <w:t>OnlineSecurity</w:t>
      </w:r>
      <w:proofErr w:type="spellEnd"/>
      <w:r w:rsidRPr="00BE46F0">
        <w:t xml:space="preserve">, </w:t>
      </w:r>
      <w:proofErr w:type="spellStart"/>
      <w:r w:rsidRPr="00BE46F0">
        <w:t>TechSupport</w:t>
      </w:r>
      <w:proofErr w:type="spellEnd"/>
      <w:r w:rsidRPr="00BE46F0">
        <w:t xml:space="preserve">, and </w:t>
      </w:r>
      <w:proofErr w:type="spellStart"/>
      <w:r w:rsidRPr="00BE46F0">
        <w:t>DeviceProtection</w:t>
      </w:r>
      <w:proofErr w:type="spellEnd"/>
      <w:r w:rsidRPr="00BE46F0">
        <w:t xml:space="preserve"> show significantly higher churn. These add-ons might boost retention.</w:t>
      </w:r>
    </w:p>
    <w:p w14:paraId="7DD85EBD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🧠</w:t>
      </w:r>
      <w:r w:rsidRPr="00BE46F0">
        <w:t xml:space="preserve"> </w:t>
      </w:r>
      <w:r w:rsidRPr="00BE46F0">
        <w:rPr>
          <w:b/>
          <w:bCs/>
        </w:rPr>
        <w:t>Fiber Optic = Risky Group</w:t>
      </w:r>
      <w:r w:rsidRPr="00BE46F0">
        <w:t>: Fiber optic internet users exhibit notably high churn compared to DSL and no-internet groups—possibly due to pricing or service issues.</w:t>
      </w:r>
    </w:p>
    <w:p w14:paraId="70B77424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📺</w:t>
      </w:r>
      <w:r w:rsidRPr="00BE46F0">
        <w:t xml:space="preserve"> </w:t>
      </w:r>
      <w:r w:rsidRPr="00BE46F0">
        <w:rPr>
          <w:b/>
          <w:bCs/>
        </w:rPr>
        <w:t>Streaming Services Signal Drop-off</w:t>
      </w:r>
      <w:r w:rsidRPr="00BE46F0">
        <w:t xml:space="preserve">: StreamingTV and </w:t>
      </w:r>
      <w:proofErr w:type="spellStart"/>
      <w:r w:rsidRPr="00BE46F0">
        <w:t>StreamingMovies</w:t>
      </w:r>
      <w:proofErr w:type="spellEnd"/>
      <w:r w:rsidRPr="00BE46F0">
        <w:t xml:space="preserve"> show visible churn when not subscribed—entertainment features may impact loyalty more than expected.</w:t>
      </w:r>
    </w:p>
    <w:p w14:paraId="48EF701B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📊</w:t>
      </w:r>
      <w:r w:rsidRPr="00BE46F0">
        <w:t xml:space="preserve"> </w:t>
      </w:r>
      <w:r w:rsidRPr="00BE46F0">
        <w:rPr>
          <w:b/>
          <w:bCs/>
        </w:rPr>
        <w:t>Multi-Service Retention Trend</w:t>
      </w:r>
      <w:r w:rsidRPr="00BE46F0">
        <w:t>: Customers with bundles (</w:t>
      </w:r>
      <w:proofErr w:type="spellStart"/>
      <w:r w:rsidRPr="00BE46F0">
        <w:t>MultipleLines</w:t>
      </w:r>
      <w:proofErr w:type="spellEnd"/>
      <w:r w:rsidRPr="00BE46F0">
        <w:t xml:space="preserve">, </w:t>
      </w:r>
      <w:proofErr w:type="spellStart"/>
      <w:r w:rsidRPr="00BE46F0">
        <w:t>OnlineBackup</w:t>
      </w:r>
      <w:proofErr w:type="spellEnd"/>
      <w:r w:rsidRPr="00BE46F0">
        <w:t xml:space="preserve">, </w:t>
      </w:r>
      <w:proofErr w:type="spellStart"/>
      <w:r w:rsidRPr="00BE46F0">
        <w:t>InternetService</w:t>
      </w:r>
      <w:proofErr w:type="spellEnd"/>
      <w:r w:rsidRPr="00BE46F0">
        <w:t>) generally show better retention—suggesting cross-service loyalty benefits.</w:t>
      </w:r>
    </w:p>
    <w:p w14:paraId="24AC8C5C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🛠️</w:t>
      </w:r>
      <w:r w:rsidRPr="00BE46F0">
        <w:t xml:space="preserve"> </w:t>
      </w:r>
      <w:r w:rsidRPr="00BE46F0">
        <w:rPr>
          <w:b/>
          <w:bCs/>
        </w:rPr>
        <w:t>Service Strategy Opportunity</w:t>
      </w:r>
      <w:r w:rsidRPr="00BE46F0">
        <w:t>: Encouraging adoption of value-added services may help curb churn, especially among newer users or those with minimal engagement.</w:t>
      </w:r>
    </w:p>
    <w:p w14:paraId="53B66219" w14:textId="77777777" w:rsidR="00BE46F0" w:rsidRDefault="00BE46F0">
      <w:r>
        <w:rPr>
          <w:noProof/>
        </w:rPr>
        <w:lastRenderedPageBreak/>
        <w:drawing>
          <wp:inline distT="0" distB="0" distL="0" distR="0" wp14:anchorId="0B8EA4E1" wp14:editId="2EA600ED">
            <wp:extent cx="5059680" cy="3687188"/>
            <wp:effectExtent l="0" t="0" r="7620" b="8890"/>
            <wp:docPr id="405443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744" cy="369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6165" w14:textId="77777777" w:rsidR="00BE46F0" w:rsidRPr="00BE46F0" w:rsidRDefault="00BE46F0" w:rsidP="00BE46F0">
      <w:r w:rsidRPr="00BE46F0">
        <w:t>Here are five sharp insights from your bar chart on churn by Paperless Billing status:</w:t>
      </w:r>
    </w:p>
    <w:p w14:paraId="7751534D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📊</w:t>
      </w:r>
      <w:r w:rsidRPr="00BE46F0">
        <w:t xml:space="preserve"> </w:t>
      </w:r>
      <w:r w:rsidRPr="00BE46F0">
        <w:rPr>
          <w:b/>
          <w:bCs/>
        </w:rPr>
        <w:t>Higher Churn with Paperless Billing</w:t>
      </w:r>
      <w:r w:rsidRPr="00BE46F0">
        <w:t xml:space="preserve">: A notable </w:t>
      </w:r>
      <w:r w:rsidRPr="00BE46F0">
        <w:rPr>
          <w:b/>
          <w:bCs/>
        </w:rPr>
        <w:t>1400 customers</w:t>
      </w:r>
      <w:r w:rsidRPr="00BE46F0">
        <w:t xml:space="preserve"> churned while using </w:t>
      </w:r>
      <w:proofErr w:type="spellStart"/>
      <w:r w:rsidRPr="00BE46F0">
        <w:t>PaperlessBilling</w:t>
      </w:r>
      <w:proofErr w:type="spellEnd"/>
      <w:r w:rsidRPr="00BE46F0">
        <w:t xml:space="preserve">—nearly </w:t>
      </w:r>
      <w:r w:rsidRPr="00BE46F0">
        <w:rPr>
          <w:b/>
          <w:bCs/>
        </w:rPr>
        <w:t>3x</w:t>
      </w:r>
      <w:r w:rsidRPr="00BE46F0">
        <w:t xml:space="preserve"> those who churned without it.</w:t>
      </w:r>
    </w:p>
    <w:p w14:paraId="05F5BB98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💡</w:t>
      </w:r>
      <w:r w:rsidRPr="00BE46F0">
        <w:t xml:space="preserve"> </w:t>
      </w:r>
      <w:r w:rsidRPr="00BE46F0">
        <w:rPr>
          <w:b/>
          <w:bCs/>
        </w:rPr>
        <w:t>Digital Doesn’t Mean Loyal</w:t>
      </w:r>
      <w:r w:rsidRPr="00BE46F0">
        <w:t>: Despite convenience, paperless users may feel less committed—perhaps due to ease of cancellation or lack of physical reminders.</w:t>
      </w:r>
    </w:p>
    <w:p w14:paraId="3F2A6B32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📈</w:t>
      </w:r>
      <w:r w:rsidRPr="00BE46F0">
        <w:t xml:space="preserve"> </w:t>
      </w:r>
      <w:r w:rsidRPr="00BE46F0">
        <w:rPr>
          <w:b/>
          <w:bCs/>
        </w:rPr>
        <w:t xml:space="preserve">Retention Stronger Without </w:t>
      </w:r>
      <w:proofErr w:type="spellStart"/>
      <w:r w:rsidRPr="00BE46F0">
        <w:rPr>
          <w:b/>
          <w:bCs/>
        </w:rPr>
        <w:t>PaperlessBilling</w:t>
      </w:r>
      <w:proofErr w:type="spellEnd"/>
      <w:r w:rsidRPr="00BE46F0">
        <w:t>: Customers without paperless billing show better retention rates, suggesting traditional methods may reinforce engagement.</w:t>
      </w:r>
    </w:p>
    <w:p w14:paraId="595F20C0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🧠</w:t>
      </w:r>
      <w:r w:rsidRPr="00BE46F0">
        <w:t xml:space="preserve"> </w:t>
      </w:r>
      <w:r w:rsidRPr="00BE46F0">
        <w:rPr>
          <w:b/>
          <w:bCs/>
        </w:rPr>
        <w:t>Billing Preferences as a Behavioral Signal</w:t>
      </w:r>
      <w:r w:rsidRPr="00BE46F0">
        <w:t xml:space="preserve">: </w:t>
      </w:r>
      <w:proofErr w:type="spellStart"/>
      <w:r w:rsidRPr="00BE46F0">
        <w:t>PaperlessBilling</w:t>
      </w:r>
      <w:proofErr w:type="spellEnd"/>
      <w:r w:rsidRPr="00BE46F0">
        <w:t xml:space="preserve"> could signal digital-savvy but disengaged users, ideal candidates for proactive engagement.</w:t>
      </w:r>
    </w:p>
    <w:p w14:paraId="31783972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🎯</w:t>
      </w:r>
      <w:r w:rsidRPr="00BE46F0">
        <w:t xml:space="preserve"> </w:t>
      </w:r>
      <w:r w:rsidRPr="00BE46F0">
        <w:rPr>
          <w:b/>
          <w:bCs/>
        </w:rPr>
        <w:t>Strategic Nudge Opportunity</w:t>
      </w:r>
      <w:r w:rsidRPr="00BE46F0">
        <w:t>: Improving digital touchpoints—like email personalization or app incentives—might help reduce churn among paperless users.</w:t>
      </w:r>
    </w:p>
    <w:p w14:paraId="1106942F" w14:textId="317E41FD" w:rsidR="007D579E" w:rsidRDefault="007D579E">
      <w:r>
        <w:br w:type="page"/>
      </w:r>
    </w:p>
    <w:p w14:paraId="6368DEE4" w14:textId="1166D579" w:rsidR="007D579E" w:rsidRDefault="00BE46F0" w:rsidP="007D579E">
      <w:pPr>
        <w:ind w:firstLine="720"/>
      </w:pPr>
      <w:r>
        <w:rPr>
          <w:noProof/>
        </w:rPr>
        <w:lastRenderedPageBreak/>
        <w:drawing>
          <wp:inline distT="0" distB="0" distL="0" distR="0" wp14:anchorId="4545B261" wp14:editId="4A561C10">
            <wp:extent cx="5943600" cy="3219450"/>
            <wp:effectExtent l="0" t="0" r="0" b="0"/>
            <wp:docPr id="18831509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2042F" w14:textId="77777777" w:rsidR="00BE46F0" w:rsidRPr="00BE46F0" w:rsidRDefault="00BE46F0" w:rsidP="00BE46F0">
      <w:r w:rsidRPr="00BE46F0">
        <w:t xml:space="preserve">Here are five crisp insights from your bar chart on churn and </w:t>
      </w:r>
      <w:proofErr w:type="spellStart"/>
      <w:r w:rsidRPr="00BE46F0">
        <w:t>PaperlessBilling</w:t>
      </w:r>
      <w:proofErr w:type="spellEnd"/>
      <w:r w:rsidRPr="00BE46F0">
        <w:t xml:space="preserve"> preferences:</w:t>
      </w:r>
    </w:p>
    <w:p w14:paraId="18172A76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📈</w:t>
      </w:r>
      <w:r w:rsidRPr="00BE46F0">
        <w:t xml:space="preserve"> </w:t>
      </w:r>
      <w:r w:rsidRPr="00BE46F0">
        <w:rPr>
          <w:b/>
          <w:bCs/>
        </w:rPr>
        <w:t>Digital Preference, Higher Churn</w:t>
      </w:r>
      <w:r w:rsidRPr="00BE46F0">
        <w:t xml:space="preserve">: Customers with </w:t>
      </w:r>
      <w:proofErr w:type="spellStart"/>
      <w:r w:rsidRPr="00BE46F0">
        <w:t>PaperlessBilling</w:t>
      </w:r>
      <w:proofErr w:type="spellEnd"/>
      <w:r w:rsidRPr="00BE46F0">
        <w:t xml:space="preserve"> (“Yes”) show more than </w:t>
      </w:r>
      <w:r w:rsidRPr="00BE46F0">
        <w:rPr>
          <w:b/>
          <w:bCs/>
        </w:rPr>
        <w:t>1400 churns</w:t>
      </w:r>
      <w:r w:rsidRPr="00BE46F0">
        <w:t>—triple the churn rate of those preferring paper billing.</w:t>
      </w:r>
    </w:p>
    <w:p w14:paraId="4BC4AADC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🧾</w:t>
      </w:r>
      <w:r w:rsidRPr="00BE46F0">
        <w:t xml:space="preserve"> </w:t>
      </w:r>
      <w:r w:rsidRPr="00BE46F0">
        <w:rPr>
          <w:b/>
          <w:bCs/>
        </w:rPr>
        <w:t>Traditional Billing Retains More</w:t>
      </w:r>
      <w:r w:rsidRPr="00BE46F0">
        <w:t xml:space="preserve">: Only </w:t>
      </w:r>
      <w:r w:rsidRPr="00BE46F0">
        <w:rPr>
          <w:b/>
          <w:bCs/>
        </w:rPr>
        <w:t>469</w:t>
      </w:r>
      <w:r w:rsidRPr="00BE46F0">
        <w:t xml:space="preserve"> customers churned without </w:t>
      </w:r>
      <w:proofErr w:type="spellStart"/>
      <w:r w:rsidRPr="00BE46F0">
        <w:t>PaperlessBilling</w:t>
      </w:r>
      <w:proofErr w:type="spellEnd"/>
      <w:r w:rsidRPr="00BE46F0">
        <w:t>, suggesting physical invoices might foster stronger commitment.</w:t>
      </w:r>
    </w:p>
    <w:p w14:paraId="52DBAA63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🧠</w:t>
      </w:r>
      <w:r w:rsidRPr="00BE46F0">
        <w:t xml:space="preserve"> </w:t>
      </w:r>
      <w:r w:rsidRPr="00BE46F0">
        <w:rPr>
          <w:b/>
          <w:bCs/>
        </w:rPr>
        <w:t>Convenience ≠ Loyalty</w:t>
      </w:r>
      <w:r w:rsidRPr="00BE46F0">
        <w:t>: Paperless users may cancel more easily or feel less tied to the service, showing that convenience alone isn’t a retention strategy.</w:t>
      </w:r>
    </w:p>
    <w:p w14:paraId="50248A74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🎯</w:t>
      </w:r>
      <w:r w:rsidRPr="00BE46F0">
        <w:t xml:space="preserve"> </w:t>
      </w:r>
      <w:r w:rsidRPr="00BE46F0">
        <w:rPr>
          <w:b/>
          <w:bCs/>
        </w:rPr>
        <w:t>Behavioral Flag for Engagement</w:t>
      </w:r>
      <w:r w:rsidRPr="00BE46F0">
        <w:t xml:space="preserve">: </w:t>
      </w:r>
      <w:proofErr w:type="spellStart"/>
      <w:r w:rsidRPr="00BE46F0">
        <w:t>PaperlessBilling</w:t>
      </w:r>
      <w:proofErr w:type="spellEnd"/>
      <w:r w:rsidRPr="00BE46F0">
        <w:t xml:space="preserve"> could be a predictor of disengaged users—ideal for personalized retention campaigns or digital nudges.</w:t>
      </w:r>
    </w:p>
    <w:p w14:paraId="24E072F6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📊</w:t>
      </w:r>
      <w:r w:rsidRPr="00BE46F0">
        <w:t xml:space="preserve"> </w:t>
      </w:r>
      <w:r w:rsidRPr="00BE46F0">
        <w:rPr>
          <w:b/>
          <w:bCs/>
        </w:rPr>
        <w:t>Clear Action Cue</w:t>
      </w:r>
      <w:r w:rsidRPr="00BE46F0">
        <w:t>: The chart visually underscores that billing mode matters—an often-overlooked factor that deserves attention in churn modeling.</w:t>
      </w:r>
    </w:p>
    <w:p w14:paraId="0CF5C099" w14:textId="77777777" w:rsidR="007D579E" w:rsidRDefault="007D579E">
      <w:r>
        <w:br w:type="page"/>
      </w:r>
    </w:p>
    <w:p w14:paraId="06B93856" w14:textId="6642F474" w:rsidR="007D579E" w:rsidRDefault="00BE46F0" w:rsidP="007D579E">
      <w:pPr>
        <w:ind w:firstLine="720"/>
      </w:pPr>
      <w:r>
        <w:rPr>
          <w:noProof/>
        </w:rPr>
        <w:lastRenderedPageBreak/>
        <w:drawing>
          <wp:inline distT="0" distB="0" distL="0" distR="0" wp14:anchorId="1D030EEF" wp14:editId="41E7EC50">
            <wp:extent cx="5943600" cy="4403725"/>
            <wp:effectExtent l="0" t="0" r="0" b="0"/>
            <wp:docPr id="5010720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D5C86" w14:textId="77777777" w:rsidR="00BE46F0" w:rsidRPr="00BE46F0" w:rsidRDefault="00BE46F0" w:rsidP="00BE46F0">
      <w:pPr>
        <w:ind w:firstLine="720"/>
      </w:pPr>
      <w:r w:rsidRPr="00BE46F0">
        <w:t xml:space="preserve">Here are five sharp insights from your boxplot comparing tenure, </w:t>
      </w:r>
      <w:proofErr w:type="spellStart"/>
      <w:r w:rsidRPr="00BE46F0">
        <w:t>MonthlyCharges</w:t>
      </w:r>
      <w:proofErr w:type="spellEnd"/>
      <w:r w:rsidRPr="00BE46F0">
        <w:t xml:space="preserve">, and </w:t>
      </w:r>
      <w:proofErr w:type="spellStart"/>
      <w:r w:rsidRPr="00BE46F0">
        <w:t>TotalCharges</w:t>
      </w:r>
      <w:proofErr w:type="spellEnd"/>
      <w:r w:rsidRPr="00BE46F0">
        <w:t>:</w:t>
      </w:r>
    </w:p>
    <w:p w14:paraId="3C3372A5" w14:textId="77777777" w:rsidR="00BE46F0" w:rsidRPr="00BE46F0" w:rsidRDefault="00BE46F0" w:rsidP="00BE46F0">
      <w:pPr>
        <w:ind w:firstLine="720"/>
      </w:pPr>
      <w:r w:rsidRPr="00BE46F0">
        <w:rPr>
          <w:rFonts w:ascii="Segoe UI Emoji" w:hAnsi="Segoe UI Emoji" w:cs="Segoe UI Emoji"/>
        </w:rPr>
        <w:t>📊</w:t>
      </w:r>
      <w:r w:rsidRPr="00BE46F0">
        <w:t xml:space="preserve"> </w:t>
      </w:r>
      <w:proofErr w:type="spellStart"/>
      <w:r w:rsidRPr="00BE46F0">
        <w:rPr>
          <w:b/>
          <w:bCs/>
        </w:rPr>
        <w:t>TotalCharges</w:t>
      </w:r>
      <w:proofErr w:type="spellEnd"/>
      <w:r w:rsidRPr="00BE46F0">
        <w:rPr>
          <w:b/>
          <w:bCs/>
        </w:rPr>
        <w:t xml:space="preserve"> Shows Broad Spread</w:t>
      </w:r>
      <w:r w:rsidRPr="00BE46F0">
        <w:t xml:space="preserve">: With a range stretching beyond </w:t>
      </w:r>
      <w:r w:rsidRPr="00BE46F0">
        <w:rPr>
          <w:b/>
          <w:bCs/>
        </w:rPr>
        <w:t>$8000</w:t>
      </w:r>
      <w:r w:rsidRPr="00BE46F0">
        <w:t xml:space="preserve">, </w:t>
      </w:r>
      <w:proofErr w:type="spellStart"/>
      <w:r w:rsidRPr="00BE46F0">
        <w:t>TotalCharges</w:t>
      </w:r>
      <w:proofErr w:type="spellEnd"/>
      <w:r w:rsidRPr="00BE46F0">
        <w:t xml:space="preserve"> displays the widest variability, indicating diverse customer spending patterns.</w:t>
      </w:r>
    </w:p>
    <w:p w14:paraId="1CC2086C" w14:textId="77777777" w:rsidR="00BE46F0" w:rsidRPr="00BE46F0" w:rsidRDefault="00BE46F0" w:rsidP="00BE46F0">
      <w:pPr>
        <w:ind w:firstLine="720"/>
      </w:pPr>
      <w:r w:rsidRPr="00BE46F0">
        <w:rPr>
          <w:rFonts w:ascii="Segoe UI Emoji" w:hAnsi="Segoe UI Emoji" w:cs="Segoe UI Emoji"/>
        </w:rPr>
        <w:t>📉</w:t>
      </w:r>
      <w:r w:rsidRPr="00BE46F0">
        <w:t xml:space="preserve"> </w:t>
      </w:r>
      <w:proofErr w:type="spellStart"/>
      <w:r w:rsidRPr="00BE46F0">
        <w:rPr>
          <w:b/>
          <w:bCs/>
        </w:rPr>
        <w:t>MonthlyCharges</w:t>
      </w:r>
      <w:proofErr w:type="spellEnd"/>
      <w:r w:rsidRPr="00BE46F0">
        <w:rPr>
          <w:b/>
          <w:bCs/>
        </w:rPr>
        <w:t xml:space="preserve"> Are More Consistent</w:t>
      </w:r>
      <w:r w:rsidRPr="00BE46F0">
        <w:t>: The charges are tightly clustered, suggesting that most users fall within a similar pricing band.</w:t>
      </w:r>
    </w:p>
    <w:p w14:paraId="5AC9E0F6" w14:textId="77777777" w:rsidR="00BE46F0" w:rsidRPr="00BE46F0" w:rsidRDefault="00BE46F0" w:rsidP="00BE46F0">
      <w:pPr>
        <w:ind w:firstLine="720"/>
      </w:pPr>
      <w:r w:rsidRPr="00BE46F0">
        <w:rPr>
          <w:rFonts w:ascii="Segoe UI Emoji" w:hAnsi="Segoe UI Emoji" w:cs="Segoe UI Emoji"/>
        </w:rPr>
        <w:t>📆</w:t>
      </w:r>
      <w:r w:rsidRPr="00BE46F0">
        <w:t xml:space="preserve"> </w:t>
      </w:r>
      <w:r w:rsidRPr="00BE46F0">
        <w:rPr>
          <w:b/>
          <w:bCs/>
        </w:rPr>
        <w:t>Tenure Has Limited Outliers</w:t>
      </w:r>
      <w:r w:rsidRPr="00BE46F0">
        <w:t>: The tenure distribution is relatively compact, with fewer extreme cases—helpful for modeling churn timelines.</w:t>
      </w:r>
    </w:p>
    <w:p w14:paraId="0DC83362" w14:textId="77777777" w:rsidR="00BE46F0" w:rsidRPr="00BE46F0" w:rsidRDefault="00BE46F0" w:rsidP="00BE46F0">
      <w:pPr>
        <w:ind w:firstLine="720"/>
      </w:pPr>
      <w:r w:rsidRPr="00BE46F0">
        <w:rPr>
          <w:rFonts w:ascii="Segoe UI Emoji" w:hAnsi="Segoe UI Emoji" w:cs="Segoe UI Emoji"/>
        </w:rPr>
        <w:t>🔍</w:t>
      </w:r>
      <w:r w:rsidRPr="00BE46F0">
        <w:t xml:space="preserve"> </w:t>
      </w:r>
      <w:r w:rsidRPr="00BE46F0">
        <w:rPr>
          <w:b/>
          <w:bCs/>
        </w:rPr>
        <w:t>Outlier Visibility Matters</w:t>
      </w:r>
      <w:r w:rsidRPr="00BE46F0">
        <w:t xml:space="preserve">: Boxplots clearly highlight outliers, particularly for </w:t>
      </w:r>
      <w:proofErr w:type="spellStart"/>
      <w:r w:rsidRPr="00BE46F0">
        <w:t>TotalCharges</w:t>
      </w:r>
      <w:proofErr w:type="spellEnd"/>
      <w:r w:rsidRPr="00BE46F0">
        <w:t>, which may require special attention or preprocessing.</w:t>
      </w:r>
    </w:p>
    <w:p w14:paraId="5467ED4C" w14:textId="77777777" w:rsidR="00BE46F0" w:rsidRPr="00BE46F0" w:rsidRDefault="00BE46F0" w:rsidP="00BE46F0">
      <w:pPr>
        <w:ind w:firstLine="720"/>
      </w:pPr>
      <w:r w:rsidRPr="00BE46F0">
        <w:rPr>
          <w:rFonts w:ascii="Segoe UI Emoji" w:hAnsi="Segoe UI Emoji" w:cs="Segoe UI Emoji"/>
        </w:rPr>
        <w:t>🧠</w:t>
      </w:r>
      <w:r w:rsidRPr="00BE46F0">
        <w:t xml:space="preserve"> </w:t>
      </w:r>
      <w:r w:rsidRPr="00BE46F0">
        <w:rPr>
          <w:b/>
          <w:bCs/>
        </w:rPr>
        <w:t>Data Insights for Modeling</w:t>
      </w:r>
      <w:r w:rsidRPr="00BE46F0">
        <w:t xml:space="preserve">: These feature spreads suggest that </w:t>
      </w:r>
      <w:proofErr w:type="spellStart"/>
      <w:r w:rsidRPr="00BE46F0">
        <w:t>TotalCharges</w:t>
      </w:r>
      <w:proofErr w:type="spellEnd"/>
      <w:r w:rsidRPr="00BE46F0">
        <w:t xml:space="preserve"> might dominate in predictive models due to its higher variance.</w:t>
      </w:r>
    </w:p>
    <w:p w14:paraId="31C01D66" w14:textId="77777777" w:rsidR="00BE46F0" w:rsidRDefault="00BE46F0" w:rsidP="007D579E">
      <w:pPr>
        <w:ind w:firstLine="720"/>
      </w:pPr>
    </w:p>
    <w:p w14:paraId="7DE39D79" w14:textId="77777777" w:rsidR="00BE46F0" w:rsidRDefault="00BE46F0">
      <w:r>
        <w:rPr>
          <w:noProof/>
        </w:rPr>
        <w:lastRenderedPageBreak/>
        <w:drawing>
          <wp:inline distT="0" distB="0" distL="0" distR="0" wp14:anchorId="19F57CC4" wp14:editId="7BBC7019">
            <wp:extent cx="5250180" cy="4693750"/>
            <wp:effectExtent l="0" t="0" r="7620" b="0"/>
            <wp:docPr id="12672499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504" cy="470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6D10" w14:textId="77777777" w:rsidR="00BE46F0" w:rsidRPr="00BE46F0" w:rsidRDefault="00BE46F0" w:rsidP="00BE46F0">
      <w:r w:rsidRPr="00BE46F0">
        <w:t xml:space="preserve">Here are five insightful observations from your scatter plot on </w:t>
      </w:r>
      <w:proofErr w:type="spellStart"/>
      <w:r w:rsidRPr="00BE46F0">
        <w:t>MonthlyCharges</w:t>
      </w:r>
      <w:proofErr w:type="spellEnd"/>
      <w:r w:rsidRPr="00BE46F0">
        <w:t xml:space="preserve"> vs. </w:t>
      </w:r>
      <w:proofErr w:type="spellStart"/>
      <w:r w:rsidRPr="00BE46F0">
        <w:t>TotalCharges</w:t>
      </w:r>
      <w:proofErr w:type="spellEnd"/>
      <w:r w:rsidRPr="00BE46F0">
        <w:t xml:space="preserve"> by churn status:</w:t>
      </w:r>
    </w:p>
    <w:p w14:paraId="14E1DD3A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📊</w:t>
      </w:r>
      <w:r w:rsidRPr="00BE46F0">
        <w:t xml:space="preserve"> </w:t>
      </w:r>
      <w:r w:rsidRPr="00BE46F0">
        <w:rPr>
          <w:b/>
          <w:bCs/>
        </w:rPr>
        <w:t>Two Distinct Clusters</w:t>
      </w:r>
      <w:r w:rsidRPr="00BE46F0">
        <w:t xml:space="preserve">: Customers with lower </w:t>
      </w:r>
      <w:proofErr w:type="spellStart"/>
      <w:r w:rsidRPr="00BE46F0">
        <w:t>MonthlyCharges</w:t>
      </w:r>
      <w:proofErr w:type="spellEnd"/>
      <w:r w:rsidRPr="00BE46F0">
        <w:t xml:space="preserve"> (~$20–$40) tend to accumulate lower </w:t>
      </w:r>
      <w:proofErr w:type="spellStart"/>
      <w:r w:rsidRPr="00BE46F0">
        <w:t>TotalCharges</w:t>
      </w:r>
      <w:proofErr w:type="spellEnd"/>
      <w:r w:rsidRPr="00BE46F0">
        <w:t>, suggesting shorter tenure—many of whom appear to churn.</w:t>
      </w:r>
    </w:p>
    <w:p w14:paraId="37F0A874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📈</w:t>
      </w:r>
      <w:r w:rsidRPr="00BE46F0">
        <w:t xml:space="preserve"> </w:t>
      </w:r>
      <w:r w:rsidRPr="00BE46F0">
        <w:rPr>
          <w:b/>
          <w:bCs/>
        </w:rPr>
        <w:t xml:space="preserve">High </w:t>
      </w:r>
      <w:proofErr w:type="spellStart"/>
      <w:r w:rsidRPr="00BE46F0">
        <w:rPr>
          <w:b/>
          <w:bCs/>
        </w:rPr>
        <w:t>TotalCharges</w:t>
      </w:r>
      <w:proofErr w:type="spellEnd"/>
      <w:r w:rsidRPr="00BE46F0">
        <w:rPr>
          <w:b/>
          <w:bCs/>
        </w:rPr>
        <w:t xml:space="preserve"> = Loyal Base</w:t>
      </w:r>
      <w:r w:rsidRPr="00BE46F0">
        <w:t xml:space="preserve">: Customers with </w:t>
      </w:r>
      <w:proofErr w:type="spellStart"/>
      <w:r w:rsidRPr="00BE46F0">
        <w:t>TotalCharges</w:t>
      </w:r>
      <w:proofErr w:type="spellEnd"/>
      <w:r w:rsidRPr="00BE46F0">
        <w:t xml:space="preserve"> exceeding </w:t>
      </w:r>
      <w:r w:rsidRPr="00BE46F0">
        <w:rPr>
          <w:b/>
          <w:bCs/>
        </w:rPr>
        <w:t>$4000</w:t>
      </w:r>
      <w:r w:rsidRPr="00BE46F0">
        <w:t xml:space="preserve"> are mostly non-churners, indicating long-term engagement and satisfaction.</w:t>
      </w:r>
    </w:p>
    <w:p w14:paraId="267B2E54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🔍</w:t>
      </w:r>
      <w:r w:rsidRPr="00BE46F0">
        <w:t xml:space="preserve"> </w:t>
      </w:r>
      <w:r w:rsidRPr="00BE46F0">
        <w:rPr>
          <w:b/>
          <w:bCs/>
        </w:rPr>
        <w:t>Mid-Charge Zone Is Mixed</w:t>
      </w:r>
      <w:r w:rsidRPr="00BE46F0">
        <w:t xml:space="preserve">: Between </w:t>
      </w:r>
      <w:r w:rsidRPr="00BE46F0">
        <w:rPr>
          <w:b/>
          <w:bCs/>
        </w:rPr>
        <w:t>$50–$80</w:t>
      </w:r>
      <w:r w:rsidRPr="00BE46F0">
        <w:t>, both churned and retained customers appear—this pricing tier might benefit from segmentation strategies.</w:t>
      </w:r>
    </w:p>
    <w:p w14:paraId="5EAD0B3B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🧠</w:t>
      </w:r>
      <w:r w:rsidRPr="00BE46F0">
        <w:t xml:space="preserve"> </w:t>
      </w:r>
      <w:r w:rsidRPr="00BE46F0">
        <w:rPr>
          <w:b/>
          <w:bCs/>
        </w:rPr>
        <w:t>Low Monthly, Low Tenure = High Churn</w:t>
      </w:r>
      <w:r w:rsidRPr="00BE46F0">
        <w:t>: Many churned customers fall in the bottom-left corner, hinting at early exits among budget-conscious users.</w:t>
      </w:r>
    </w:p>
    <w:p w14:paraId="2F94B18C" w14:textId="77777777" w:rsidR="00BE46F0" w:rsidRPr="00BE46F0" w:rsidRDefault="00BE46F0" w:rsidP="00BE46F0">
      <w:r w:rsidRPr="00BE46F0">
        <w:rPr>
          <w:rFonts w:ascii="Segoe UI Emoji" w:hAnsi="Segoe UI Emoji" w:cs="Segoe UI Emoji"/>
        </w:rPr>
        <w:t>🎯</w:t>
      </w:r>
      <w:r w:rsidRPr="00BE46F0">
        <w:t xml:space="preserve"> </w:t>
      </w:r>
      <w:r w:rsidRPr="00BE46F0">
        <w:rPr>
          <w:b/>
          <w:bCs/>
        </w:rPr>
        <w:t>Retention Levers in High-Spend Segment</w:t>
      </w:r>
      <w:r w:rsidRPr="00BE46F0">
        <w:t xml:space="preserve">: Those with high </w:t>
      </w:r>
      <w:proofErr w:type="spellStart"/>
      <w:r w:rsidRPr="00BE46F0">
        <w:t>MonthlyCharges</w:t>
      </w:r>
      <w:proofErr w:type="spellEnd"/>
      <w:r w:rsidRPr="00BE46F0">
        <w:t xml:space="preserve"> who don’t churn represent a premium base—potentially ideal for loyalty programs or upsell strategies.</w:t>
      </w:r>
    </w:p>
    <w:p w14:paraId="1345BF9E" w14:textId="77777777" w:rsidR="00577194" w:rsidRDefault="00BE46F0">
      <w:r>
        <w:rPr>
          <w:noProof/>
        </w:rPr>
        <w:lastRenderedPageBreak/>
        <w:drawing>
          <wp:inline distT="0" distB="0" distL="0" distR="0" wp14:anchorId="7841390E" wp14:editId="495E774C">
            <wp:extent cx="5943600" cy="4156710"/>
            <wp:effectExtent l="0" t="0" r="0" b="0"/>
            <wp:docPr id="9072371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A120" w14:textId="77777777" w:rsidR="00577194" w:rsidRPr="00577194" w:rsidRDefault="00577194" w:rsidP="00577194">
      <w:r w:rsidRPr="00577194">
        <w:t>Here are 5 lines of insight from the provided KDE plot:</w:t>
      </w:r>
    </w:p>
    <w:p w14:paraId="196A0159" w14:textId="77777777" w:rsidR="00577194" w:rsidRPr="00577194" w:rsidRDefault="00577194" w:rsidP="00577194">
      <w:pPr>
        <w:numPr>
          <w:ilvl w:val="0"/>
          <w:numId w:val="10"/>
        </w:numPr>
      </w:pPr>
      <w:r w:rsidRPr="00577194">
        <w:rPr>
          <w:b/>
          <w:bCs/>
        </w:rPr>
        <w:t>Inverse Relationship for Churners:</w:t>
      </w:r>
      <w:r w:rsidRPr="00577194">
        <w:t xml:space="preserve"> Customers who churn (red) tend to have lower monthly charges but higher total charges, suggesting they accumulated charges over a longer period before churning.</w:t>
      </w:r>
    </w:p>
    <w:p w14:paraId="12C27A11" w14:textId="77777777" w:rsidR="00577194" w:rsidRPr="00577194" w:rsidRDefault="00577194" w:rsidP="00577194">
      <w:pPr>
        <w:numPr>
          <w:ilvl w:val="0"/>
          <w:numId w:val="10"/>
        </w:numPr>
      </w:pPr>
      <w:r w:rsidRPr="00577194">
        <w:rPr>
          <w:b/>
          <w:bCs/>
        </w:rPr>
        <w:t>Higher Monthly Charges for Non-Churners:</w:t>
      </w:r>
      <w:r w:rsidRPr="00577194">
        <w:t xml:space="preserve"> Customers who did not churn (blue) are more concentrated at higher monthly charges, indicating a stronger correlation between higher recurring costs and customer retention.</w:t>
      </w:r>
    </w:p>
    <w:p w14:paraId="49D1A3A2" w14:textId="77777777" w:rsidR="00577194" w:rsidRPr="00577194" w:rsidRDefault="00577194" w:rsidP="00577194">
      <w:pPr>
        <w:numPr>
          <w:ilvl w:val="0"/>
          <w:numId w:val="10"/>
        </w:numPr>
      </w:pPr>
      <w:r w:rsidRPr="00577194">
        <w:rPr>
          <w:b/>
          <w:bCs/>
        </w:rPr>
        <w:t>Distinct Distribution Peaks:</w:t>
      </w:r>
      <w:r w:rsidRPr="00577194">
        <w:t xml:space="preserve"> The plot shows distinct peaks for both churn and non-churn groups, highlighting different customer behaviors regarding their monthly and total spending.</w:t>
      </w:r>
    </w:p>
    <w:p w14:paraId="0A7F664E" w14:textId="77777777" w:rsidR="00577194" w:rsidRPr="00577194" w:rsidRDefault="00577194" w:rsidP="00577194">
      <w:pPr>
        <w:numPr>
          <w:ilvl w:val="0"/>
          <w:numId w:val="10"/>
        </w:numPr>
      </w:pPr>
      <w:r w:rsidRPr="00577194">
        <w:rPr>
          <w:b/>
          <w:bCs/>
        </w:rPr>
        <w:t>Overlap in Low-Spending Customers:</w:t>
      </w:r>
      <w:r w:rsidRPr="00577194">
        <w:t xml:space="preserve"> There's a significant overlap in the lower range of both monthly and total charges, making it difficult to differentiate churners from non-churners based solely on low spending habits.</w:t>
      </w:r>
    </w:p>
    <w:p w14:paraId="548479C1" w14:textId="77777777" w:rsidR="00577194" w:rsidRPr="00577194" w:rsidRDefault="00577194" w:rsidP="00577194">
      <w:pPr>
        <w:numPr>
          <w:ilvl w:val="0"/>
          <w:numId w:val="10"/>
        </w:numPr>
      </w:pPr>
      <w:r w:rsidRPr="00577194">
        <w:rPr>
          <w:b/>
          <w:bCs/>
        </w:rPr>
        <w:t>Potential Threshold for Churn:</w:t>
      </w:r>
      <w:r w:rsidRPr="00577194">
        <w:t xml:space="preserve"> The red (churn) distribution extends further along the "Total Charges" axis while having lower "Monthly Charges," implying that customers might churn after a certain cumulative spend, even if their monthly bill is relatively low.</w:t>
      </w:r>
    </w:p>
    <w:p w14:paraId="3D3EEF11" w14:textId="32663E90" w:rsidR="00157C2D" w:rsidRPr="00157C2D" w:rsidRDefault="00157C2D" w:rsidP="00157C2D">
      <w:pPr>
        <w:pStyle w:val="ListBullet"/>
        <w:numPr>
          <w:ilvl w:val="0"/>
          <w:numId w:val="0"/>
        </w:numPr>
        <w:ind w:left="360" w:hanging="360"/>
        <w:rPr>
          <w:b/>
          <w:bCs/>
          <w:sz w:val="48"/>
          <w:szCs w:val="48"/>
        </w:rPr>
      </w:pPr>
      <w:r w:rsidRPr="00157C2D">
        <w:rPr>
          <w:b/>
          <w:bCs/>
          <w:sz w:val="48"/>
          <w:szCs w:val="48"/>
        </w:rPr>
        <w:lastRenderedPageBreak/>
        <w:t>Conclusion:</w:t>
      </w:r>
    </w:p>
    <w:p w14:paraId="58C80CE1" w14:textId="3683F701" w:rsidR="00DC0561" w:rsidRPr="00494EFF" w:rsidRDefault="00157C2D" w:rsidP="00157C2D">
      <w:pPr>
        <w:pStyle w:val="ListBullet"/>
      </w:pPr>
      <w:r w:rsidRPr="00494EFF">
        <w:t>Launch</w:t>
      </w:r>
      <w:r w:rsidRPr="00494EFF">
        <w:t xml:space="preserve"> </w:t>
      </w:r>
      <w:r w:rsidR="00DC0561" w:rsidRPr="00494EFF">
        <w:t xml:space="preserve">a “First-90-days” welcome </w:t>
      </w:r>
      <w:proofErr w:type="spellStart"/>
      <w:r w:rsidR="00DC0561" w:rsidRPr="00494EFF">
        <w:t>programme</w:t>
      </w:r>
      <w:proofErr w:type="spellEnd"/>
      <w:r w:rsidR="00DC0561" w:rsidRPr="00494EFF">
        <w:t>—proactive support, small loyalty credits, or service-bundling offers.</w:t>
      </w:r>
    </w:p>
    <w:p w14:paraId="0DA2FD64" w14:textId="77777777" w:rsidR="00DC0561" w:rsidRPr="00494EFF" w:rsidRDefault="00DC0561" w:rsidP="00157C2D">
      <w:pPr>
        <w:pStyle w:val="ListBullet"/>
      </w:pPr>
      <w:r w:rsidRPr="00494EFF">
        <w:t>Create targeted campaigns converting month-to-month customers to annual contracts (highlighting cost savings plus add-on bundles).</w:t>
      </w:r>
    </w:p>
    <w:p w14:paraId="40DF9D26" w14:textId="77777777" w:rsidR="00DC0561" w:rsidRPr="00494EFF" w:rsidRDefault="00DC0561" w:rsidP="00157C2D">
      <w:pPr>
        <w:pStyle w:val="ListBullet"/>
      </w:pPr>
      <w:r w:rsidRPr="00494EFF">
        <w:t>Identify senior-citizen accounts and offer concierge-style assistance, potentially lowering complexity of service options.</w:t>
      </w:r>
    </w:p>
    <w:p w14:paraId="5D9CA101" w14:textId="77777777" w:rsidR="00DC0561" w:rsidRPr="00494EFF" w:rsidRDefault="00DC0561" w:rsidP="00157C2D">
      <w:pPr>
        <w:pStyle w:val="ListBullet"/>
      </w:pPr>
      <w:r w:rsidRPr="00494EFF">
        <w:t>Promote secure automatic payment options with incentives, reducing electronic-check exposure.</w:t>
      </w:r>
    </w:p>
    <w:p w14:paraId="5CD99A46" w14:textId="77777777" w:rsidR="00DC0561" w:rsidRPr="00494EFF" w:rsidRDefault="00DC0561" w:rsidP="00157C2D">
      <w:pPr>
        <w:pStyle w:val="ListBullet"/>
      </w:pPr>
      <w:r w:rsidRPr="00494EFF">
        <w:t>Embed add-on cross-sell prompts in digital and agent channels for customers without security or tech-support products.</w:t>
      </w:r>
    </w:p>
    <w:p w14:paraId="23005363" w14:textId="4EE35ECB" w:rsidR="00DC0561" w:rsidRPr="00494EFF" w:rsidRDefault="00157C2D" w:rsidP="00DC0561">
      <w:r>
        <w:t xml:space="preserve"> </w:t>
      </w:r>
      <w:r w:rsidR="00DC0561" w:rsidRPr="00494EFF">
        <w:t xml:space="preserve">These steps address the high-impact segments revealed by your charts and should measurably </w:t>
      </w:r>
      <w:r>
        <w:t xml:space="preserve">    </w:t>
      </w:r>
      <w:r w:rsidR="00DC0561" w:rsidRPr="00494EFF">
        <w:t>lower churn.</w:t>
      </w:r>
    </w:p>
    <w:p w14:paraId="7E67CB1C" w14:textId="41E45BFF" w:rsidR="007D579E" w:rsidRDefault="007D579E" w:rsidP="007D579E">
      <w:pPr>
        <w:ind w:firstLine="720"/>
      </w:pPr>
    </w:p>
    <w:p w14:paraId="6368ADE7" w14:textId="53B95C4D" w:rsidR="007D579E" w:rsidRDefault="007D579E" w:rsidP="007D579E">
      <w:pPr>
        <w:ind w:firstLine="720"/>
      </w:pPr>
    </w:p>
    <w:p w14:paraId="0916CE77" w14:textId="77777777" w:rsidR="007D579E" w:rsidRDefault="007D579E">
      <w:r>
        <w:br w:type="page"/>
      </w:r>
    </w:p>
    <w:p w14:paraId="15575DE2" w14:textId="230C2704" w:rsidR="007D579E" w:rsidRDefault="007D579E" w:rsidP="007D579E">
      <w:pPr>
        <w:ind w:firstLine="720"/>
      </w:pPr>
    </w:p>
    <w:p w14:paraId="2B66D528" w14:textId="13D640DB" w:rsidR="007D579E" w:rsidRDefault="007D579E" w:rsidP="007D579E">
      <w:pPr>
        <w:ind w:firstLine="720"/>
      </w:pPr>
    </w:p>
    <w:p w14:paraId="2780D0C8" w14:textId="647E3BA2" w:rsidR="007D579E" w:rsidRDefault="007D579E" w:rsidP="007D579E">
      <w:pPr>
        <w:ind w:firstLine="720"/>
      </w:pPr>
    </w:p>
    <w:p w14:paraId="44F4200C" w14:textId="7AF3844E" w:rsidR="007D579E" w:rsidRDefault="007D579E" w:rsidP="007D579E">
      <w:pPr>
        <w:ind w:firstLine="720"/>
      </w:pPr>
    </w:p>
    <w:p w14:paraId="627D4601" w14:textId="4489AAC4" w:rsidR="007D579E" w:rsidRDefault="007D579E" w:rsidP="007D579E">
      <w:pPr>
        <w:ind w:firstLine="720"/>
      </w:pPr>
    </w:p>
    <w:p w14:paraId="7B94CB79" w14:textId="6BECF1D1" w:rsidR="007D579E" w:rsidRPr="007D579E" w:rsidRDefault="007D579E" w:rsidP="00577194"/>
    <w:sectPr w:rsidR="007D579E" w:rsidRPr="007D57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386630" w14:textId="77777777" w:rsidR="00577194" w:rsidRDefault="00577194" w:rsidP="00577194">
      <w:pPr>
        <w:spacing w:after="0" w:line="240" w:lineRule="auto"/>
      </w:pPr>
      <w:r>
        <w:separator/>
      </w:r>
    </w:p>
  </w:endnote>
  <w:endnote w:type="continuationSeparator" w:id="0">
    <w:p w14:paraId="072FC16C" w14:textId="77777777" w:rsidR="00577194" w:rsidRDefault="00577194" w:rsidP="00577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63B0C9" w14:textId="77777777" w:rsidR="00577194" w:rsidRDefault="00577194" w:rsidP="00577194">
      <w:pPr>
        <w:spacing w:after="0" w:line="240" w:lineRule="auto"/>
      </w:pPr>
      <w:r>
        <w:separator/>
      </w:r>
    </w:p>
  </w:footnote>
  <w:footnote w:type="continuationSeparator" w:id="0">
    <w:p w14:paraId="494C1EF5" w14:textId="77777777" w:rsidR="00577194" w:rsidRDefault="00577194" w:rsidP="005771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3A6805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3105DDE"/>
    <w:multiLevelType w:val="multilevel"/>
    <w:tmpl w:val="C1AC7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0C0EED"/>
    <w:multiLevelType w:val="hybridMultilevel"/>
    <w:tmpl w:val="98E62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D65713"/>
    <w:multiLevelType w:val="multilevel"/>
    <w:tmpl w:val="64103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7A030A"/>
    <w:multiLevelType w:val="multilevel"/>
    <w:tmpl w:val="940C3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FF3A60"/>
    <w:multiLevelType w:val="multilevel"/>
    <w:tmpl w:val="71AC6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CD6360"/>
    <w:multiLevelType w:val="multilevel"/>
    <w:tmpl w:val="43A0B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2C5F2B"/>
    <w:multiLevelType w:val="multilevel"/>
    <w:tmpl w:val="68201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C7410E"/>
    <w:multiLevelType w:val="multilevel"/>
    <w:tmpl w:val="F2E4C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5F4EBF"/>
    <w:multiLevelType w:val="multilevel"/>
    <w:tmpl w:val="5C662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CA25555"/>
    <w:multiLevelType w:val="multilevel"/>
    <w:tmpl w:val="D84A4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D47BA7"/>
    <w:multiLevelType w:val="multilevel"/>
    <w:tmpl w:val="340E8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41075">
    <w:abstractNumId w:val="9"/>
  </w:num>
  <w:num w:numId="2" w16cid:durableId="1869368440">
    <w:abstractNumId w:val="1"/>
  </w:num>
  <w:num w:numId="3" w16cid:durableId="79760786">
    <w:abstractNumId w:val="11"/>
  </w:num>
  <w:num w:numId="4" w16cid:durableId="1440295389">
    <w:abstractNumId w:val="7"/>
  </w:num>
  <w:num w:numId="5" w16cid:durableId="608506481">
    <w:abstractNumId w:val="6"/>
  </w:num>
  <w:num w:numId="6" w16cid:durableId="1984845576">
    <w:abstractNumId w:val="3"/>
  </w:num>
  <w:num w:numId="7" w16cid:durableId="796753213">
    <w:abstractNumId w:val="8"/>
  </w:num>
  <w:num w:numId="8" w16cid:durableId="879631623">
    <w:abstractNumId w:val="10"/>
  </w:num>
  <w:num w:numId="9" w16cid:durableId="2103142497">
    <w:abstractNumId w:val="5"/>
  </w:num>
  <w:num w:numId="10" w16cid:durableId="187257519">
    <w:abstractNumId w:val="4"/>
  </w:num>
  <w:num w:numId="11" w16cid:durableId="1242639921">
    <w:abstractNumId w:val="2"/>
  </w:num>
  <w:num w:numId="12" w16cid:durableId="508762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EFF"/>
    <w:rsid w:val="00156CE6"/>
    <w:rsid w:val="00157C2D"/>
    <w:rsid w:val="001F4ACC"/>
    <w:rsid w:val="00494EFF"/>
    <w:rsid w:val="00577194"/>
    <w:rsid w:val="00674001"/>
    <w:rsid w:val="007D579E"/>
    <w:rsid w:val="00BE46F0"/>
    <w:rsid w:val="00DC0561"/>
    <w:rsid w:val="00DE0D01"/>
    <w:rsid w:val="00EA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12AB2"/>
  <w15:chartTrackingRefBased/>
  <w15:docId w15:val="{81ABA1C9-BFB6-4A2A-BB71-BC229D6EB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4E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4E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4E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E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4E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E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E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E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E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E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4E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4E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E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4E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E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E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E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E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4E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E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E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4E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4E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4E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4E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4E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E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E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4EF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D579E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577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194"/>
  </w:style>
  <w:style w:type="paragraph" w:styleId="Footer">
    <w:name w:val="footer"/>
    <w:basedOn w:val="Normal"/>
    <w:link w:val="FooterChar"/>
    <w:uiPriority w:val="99"/>
    <w:unhideWhenUsed/>
    <w:rsid w:val="00577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194"/>
  </w:style>
  <w:style w:type="paragraph" w:styleId="ListBullet">
    <w:name w:val="List Bullet"/>
    <w:basedOn w:val="Normal"/>
    <w:uiPriority w:val="99"/>
    <w:unhideWhenUsed/>
    <w:rsid w:val="00157C2D"/>
    <w:pPr>
      <w:numPr>
        <w:numId w:val="1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C8814-1642-4BF6-97C3-5804D3B68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20</Pages>
  <Words>2014</Words>
  <Characters>11480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Yadav</dc:creator>
  <cp:keywords/>
  <dc:description/>
  <cp:lastModifiedBy>Rahul Yadav</cp:lastModifiedBy>
  <cp:revision>1</cp:revision>
  <dcterms:created xsi:type="dcterms:W3CDTF">2025-07-29T06:05:00Z</dcterms:created>
  <dcterms:modified xsi:type="dcterms:W3CDTF">2025-07-29T07:25:00Z</dcterms:modified>
</cp:coreProperties>
</file>