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Designing a Microservice with Unclear Requirements</w:t>
      </w:r>
    </w:p>
    <w:p>
      <w:r>
        <w:t>Generated: 2026-07-12 00:59:51</w:t>
      </w:r>
    </w:p>
    <w:p/>
    <w:p>
      <w:r>
        <w:t>Designing a Microservice with Unclear Requirements</w:t>
      </w:r>
    </w:p>
    <w:p>
      <w:r>
        <w:t>**Communication Protocol:**</w:t>
      </w:r>
    </w:p>
    <w:p>
      <w:r>
        <w:t>We have chosen gRPC as the communication protocol for the microservice. This is due to its ability to handle high-frequency requests and provide better performance.</w:t>
      </w:r>
    </w:p>
    <w:p>
      <w:r>
        <w:t>**Database Management System:**</w:t>
      </w:r>
    </w:p>
    <w:p>
      <w:r>
        <w:t>We have chosen NoSQL as the database management system for the microservice. This is due to its ability to handle semi-structured and unstructured data.</w:t>
      </w:r>
    </w:p>
    <w:p>
      <w:r>
        <w:t>**Deployment Environment:**</w:t>
      </w:r>
    </w:p>
    <w:p>
      <w:r>
        <w:t>We have chosen cloud deployment for the microservice. This is due to its ability to provide scalability, reliability, and cost-effectiveness.</w:t>
      </w:r>
    </w:p>
    <w:p>
      <w:r>
        <w:t>**Scalability Approach:**</w:t>
      </w:r>
    </w:p>
    <w:p>
      <w:r>
        <w:t>We have chosen a horizontal scaling approach for the microservice. This is due to its ability to handle increased traffic by adding more instances.</w:t>
      </w:r>
    </w:p>
    <w:p>
      <w:r>
        <w:t>**Justification:**</w:t>
      </w:r>
    </w:p>
    <w:p>
      <w:r>
        <w:t>We have made these design decisions based on the assumption that the microservice will be used for real-time data exchange between multiple services, handle a large amount of unstructured data, and experience a high volume of traffic. These assumptions are based on the unclear requirements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