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82C" w:rsidRDefault="00C3055D" w:rsidP="0099482C">
      <w:pPr>
        <w:rPr>
          <w:rFonts w:eastAsia="Times New Roman" w:cstheme="minorHAnsi"/>
          <w:sz w:val="24"/>
          <w:szCs w:val="24"/>
        </w:rPr>
      </w:pPr>
      <w:proofErr w:type="spellStart"/>
      <w:r>
        <w:rPr>
          <w:rFonts w:eastAsia="Times New Roman" w:cstheme="minorHAnsi"/>
          <w:sz w:val="24"/>
          <w:szCs w:val="24"/>
        </w:rPr>
        <w:t>Laguardia</w:t>
      </w:r>
      <w:proofErr w:type="spellEnd"/>
      <w:r>
        <w:rPr>
          <w:rFonts w:eastAsia="Times New Roman" w:cstheme="minorHAnsi"/>
          <w:sz w:val="24"/>
          <w:szCs w:val="24"/>
        </w:rPr>
        <w:t>, James Luis R.</w:t>
      </w:r>
    </w:p>
    <w:p w:rsidR="00C3055D" w:rsidRPr="0099482C" w:rsidRDefault="00C3055D" w:rsidP="0099482C">
      <w:pPr>
        <w:rPr>
          <w:rFonts w:eastAsia="Times New Roman" w:cstheme="minorHAnsi"/>
          <w:sz w:val="24"/>
          <w:szCs w:val="24"/>
        </w:rPr>
      </w:pPr>
      <w:r>
        <w:rPr>
          <w:rFonts w:eastAsia="Times New Roman" w:cstheme="minorHAnsi"/>
          <w:sz w:val="24"/>
          <w:szCs w:val="24"/>
        </w:rPr>
        <w:t>BSIT-3A</w:t>
      </w:r>
    </w:p>
    <w:p w:rsidR="00C3055D" w:rsidRDefault="00C3055D" w:rsidP="0099482C">
      <w:pPr>
        <w:rPr>
          <w:rFonts w:eastAsia="Times New Roman" w:cstheme="minorHAnsi"/>
          <w:b/>
          <w:sz w:val="24"/>
          <w:szCs w:val="24"/>
        </w:rPr>
      </w:pPr>
    </w:p>
    <w:p w:rsidR="00C3055D" w:rsidRDefault="00C3055D" w:rsidP="0099482C">
      <w:pPr>
        <w:rPr>
          <w:rFonts w:eastAsia="Times New Roman" w:cstheme="minorHAnsi"/>
          <w:b/>
          <w:sz w:val="24"/>
          <w:szCs w:val="24"/>
        </w:rPr>
      </w:pPr>
    </w:p>
    <w:p w:rsidR="0099482C" w:rsidRPr="00C3055D" w:rsidRDefault="0099482C" w:rsidP="0099482C">
      <w:pPr>
        <w:rPr>
          <w:rFonts w:eastAsia="Times New Roman" w:cstheme="minorHAnsi"/>
          <w:b/>
          <w:sz w:val="24"/>
          <w:szCs w:val="24"/>
        </w:rPr>
      </w:pPr>
      <w:r w:rsidRPr="00C3055D">
        <w:rPr>
          <w:rFonts w:eastAsia="Times New Roman" w:cstheme="minorHAnsi"/>
          <w:b/>
          <w:sz w:val="24"/>
          <w:szCs w:val="24"/>
        </w:rPr>
        <w:t xml:space="preserve">RESEARCH: </w:t>
      </w:r>
    </w:p>
    <w:p w:rsidR="0099482C" w:rsidRPr="0099482C" w:rsidRDefault="0099482C" w:rsidP="00726D8F">
      <w:pPr>
        <w:rPr>
          <w:rFonts w:eastAsia="Times New Roman" w:cstheme="minorHAnsi"/>
          <w:i/>
          <w:sz w:val="24"/>
          <w:szCs w:val="24"/>
        </w:rPr>
      </w:pPr>
      <w:r w:rsidRPr="0099482C">
        <w:rPr>
          <w:rFonts w:eastAsia="Times New Roman" w:cstheme="minorHAnsi"/>
          <w:sz w:val="24"/>
          <w:szCs w:val="24"/>
        </w:rPr>
        <w:t>In the Philippines, barangays use both manual and computerized techniques to keep tabs on their spending. The barangay treasurer oversees the financial operations of the barangay, including keeping track of revenue and expenses, in accordance with the Local Government Code of the Philippines.</w:t>
      </w:r>
      <w:r w:rsidRPr="0099482C">
        <w:rPr>
          <w:rFonts w:cstheme="minorHAnsi"/>
        </w:rPr>
        <w:t xml:space="preserve"> </w:t>
      </w:r>
      <w:r w:rsidRPr="0099482C">
        <w:rPr>
          <w:rFonts w:cstheme="minorHAnsi"/>
          <w:i/>
        </w:rPr>
        <w:t>(</w:t>
      </w:r>
      <w:hyperlink r:id="rId4" w:history="1">
        <w:r w:rsidRPr="0099482C">
          <w:rPr>
            <w:rStyle w:val="Hyperlink"/>
            <w:rFonts w:eastAsia="Times New Roman" w:cstheme="minorHAnsi"/>
            <w:i/>
            <w:sz w:val="24"/>
            <w:szCs w:val="24"/>
          </w:rPr>
          <w:t>https://www.dbm.gov.ph/wp-content/uploads/2012/03/BB-4.pdf</w:t>
        </w:r>
      </w:hyperlink>
      <w:r w:rsidRPr="0099482C">
        <w:rPr>
          <w:rFonts w:eastAsia="Times New Roman" w:cstheme="minorHAnsi"/>
          <w:i/>
          <w:sz w:val="24"/>
          <w:szCs w:val="24"/>
        </w:rPr>
        <w:t>).</w:t>
      </w:r>
    </w:p>
    <w:p w:rsidR="0099482C" w:rsidRPr="0099482C" w:rsidRDefault="0099482C" w:rsidP="00726D8F">
      <w:pPr>
        <w:rPr>
          <w:rFonts w:cstheme="minorHAnsi"/>
        </w:rPr>
      </w:pPr>
      <w:r w:rsidRPr="0099482C">
        <w:rPr>
          <w:rFonts w:eastAsia="Times New Roman" w:cstheme="minorHAnsi"/>
          <w:sz w:val="24"/>
          <w:szCs w:val="24"/>
        </w:rPr>
        <w:t>Manual methods include keeping track of income and costs in a notebook or ledger, making a spreadsheet budget and spending plan, and filing invoices and receipts in the appropriate spot.</w:t>
      </w:r>
      <w:r w:rsidRPr="0099482C">
        <w:rPr>
          <w:rFonts w:cstheme="minorHAnsi"/>
        </w:rPr>
        <w:t xml:space="preserve"> </w:t>
      </w:r>
      <w:r w:rsidRPr="0099482C">
        <w:rPr>
          <w:rFonts w:cstheme="minorHAnsi"/>
          <w:i/>
        </w:rPr>
        <w:t>(</w:t>
      </w:r>
      <w:hyperlink r:id="rId5" w:history="1">
        <w:r w:rsidRPr="0099482C">
          <w:rPr>
            <w:rStyle w:val="Hyperlink"/>
            <w:rFonts w:eastAsia="Times New Roman" w:cstheme="minorHAnsi"/>
            <w:i/>
            <w:sz w:val="24"/>
            <w:szCs w:val="24"/>
          </w:rPr>
          <w:t>https://blgf.gov.ph/wp-content/uploads/2015/12/SREManual.pdf</w:t>
        </w:r>
      </w:hyperlink>
      <w:r w:rsidRPr="0099482C">
        <w:rPr>
          <w:rFonts w:eastAsia="Times New Roman" w:cstheme="minorHAnsi"/>
          <w:i/>
          <w:sz w:val="24"/>
          <w:szCs w:val="24"/>
        </w:rPr>
        <w:t>).</w:t>
      </w:r>
      <w:r w:rsidRPr="0099482C">
        <w:rPr>
          <w:rFonts w:cstheme="minorHAnsi"/>
        </w:rPr>
        <w:t xml:space="preserve"> </w:t>
      </w:r>
    </w:p>
    <w:p w:rsidR="0099482C" w:rsidRPr="0099482C" w:rsidRDefault="0099482C" w:rsidP="00726D8F">
      <w:pPr>
        <w:rPr>
          <w:rFonts w:eastAsia="Times New Roman" w:cstheme="minorHAnsi"/>
          <w:sz w:val="24"/>
          <w:szCs w:val="24"/>
        </w:rPr>
      </w:pPr>
      <w:r w:rsidRPr="0099482C">
        <w:rPr>
          <w:rFonts w:eastAsia="Times New Roman" w:cstheme="minorHAnsi"/>
          <w:sz w:val="24"/>
          <w:szCs w:val="24"/>
        </w:rPr>
        <w:t xml:space="preserve">Utilizing online spreadsheets like Google Sheets, digital budgeting systems like Mint or Personal Capital, and accounting software or applications like QuickBooks or </w:t>
      </w:r>
      <w:proofErr w:type="spellStart"/>
      <w:r w:rsidRPr="0099482C">
        <w:rPr>
          <w:rFonts w:eastAsia="Times New Roman" w:cstheme="minorHAnsi"/>
          <w:sz w:val="24"/>
          <w:szCs w:val="24"/>
        </w:rPr>
        <w:t>Zoho</w:t>
      </w:r>
      <w:proofErr w:type="spellEnd"/>
      <w:r w:rsidRPr="0099482C">
        <w:rPr>
          <w:rFonts w:eastAsia="Times New Roman" w:cstheme="minorHAnsi"/>
          <w:sz w:val="24"/>
          <w:szCs w:val="24"/>
        </w:rPr>
        <w:t xml:space="preserve"> Books are examples of digital techniques (</w:t>
      </w:r>
      <w:hyperlink r:id="rId6" w:history="1">
        <w:r w:rsidRPr="0099482C">
          <w:rPr>
            <w:rStyle w:val="Hyperlink"/>
            <w:rFonts w:eastAsia="Times New Roman" w:cstheme="minorHAnsi"/>
            <w:i/>
            <w:sz w:val="24"/>
            <w:szCs w:val="24"/>
          </w:rPr>
          <w:t>https://www.globalscientificjournal.com/researchpaper/ENHANCEMENT_OF_BARANGAY_MANAGEMENT_SYSTEM.pdf</w:t>
        </w:r>
      </w:hyperlink>
      <w:proofErr w:type="gramStart"/>
      <w:r w:rsidRPr="0099482C">
        <w:rPr>
          <w:rFonts w:eastAsia="Times New Roman" w:cstheme="minorHAnsi"/>
          <w:sz w:val="24"/>
          <w:szCs w:val="24"/>
        </w:rPr>
        <w:t>) .</w:t>
      </w:r>
      <w:proofErr w:type="gramEnd"/>
      <w:r w:rsidRPr="0099482C">
        <w:rPr>
          <w:rFonts w:eastAsia="Times New Roman" w:cstheme="minorHAnsi"/>
          <w:sz w:val="24"/>
          <w:szCs w:val="24"/>
        </w:rPr>
        <w:t xml:space="preserve"> To track their spending, some barangays may decide to use a hybrid strategy that combines digital and manual techniques. Whichever approach is selected, the secret to efficient spending monitoring is to identify a system that functions and to regularly apply it. This will enable barangays to make more informed decisions, better manage their budgets, and guarantee accountability and openness.</w:t>
      </w:r>
    </w:p>
    <w:p w:rsidR="00C3055D" w:rsidRDefault="00C3055D" w:rsidP="0099482C">
      <w:pPr>
        <w:rPr>
          <w:rFonts w:eastAsia="Times New Roman" w:cstheme="minorHAnsi"/>
          <w:b/>
          <w:sz w:val="24"/>
          <w:szCs w:val="24"/>
        </w:rPr>
      </w:pPr>
    </w:p>
    <w:p w:rsidR="0099482C" w:rsidRPr="00C3055D" w:rsidRDefault="0099482C" w:rsidP="0099482C">
      <w:pPr>
        <w:rPr>
          <w:rFonts w:eastAsia="Times New Roman" w:cstheme="minorHAnsi"/>
          <w:b/>
          <w:sz w:val="24"/>
          <w:szCs w:val="24"/>
        </w:rPr>
      </w:pPr>
      <w:r w:rsidRPr="00C3055D">
        <w:rPr>
          <w:rFonts w:eastAsia="Times New Roman" w:cstheme="minorHAnsi"/>
          <w:b/>
          <w:sz w:val="24"/>
          <w:szCs w:val="24"/>
        </w:rPr>
        <w:t>IMPLEMENT FUND RAISING</w:t>
      </w:r>
      <w:bookmarkStart w:id="0" w:name="_GoBack"/>
      <w:bookmarkEnd w:id="0"/>
    </w:p>
    <w:p w:rsidR="00C3055D" w:rsidRDefault="0099482C" w:rsidP="0099482C">
      <w:pPr>
        <w:rPr>
          <w:rFonts w:eastAsia="Times New Roman" w:cstheme="minorHAnsi"/>
          <w:sz w:val="24"/>
          <w:szCs w:val="24"/>
        </w:rPr>
      </w:pPr>
      <w:r w:rsidRPr="0099482C">
        <w:rPr>
          <w:rFonts w:eastAsia="Times New Roman" w:cstheme="minorHAnsi"/>
          <w:sz w:val="24"/>
          <w:szCs w:val="24"/>
        </w:rPr>
        <w:t xml:space="preserve">Integrating online donation platforms into their website to enable constituents to make secure, simple donations is one method to accomplish this. </w:t>
      </w:r>
      <w:proofErr w:type="spellStart"/>
      <w:r w:rsidRPr="0099482C">
        <w:rPr>
          <w:rFonts w:eastAsia="Times New Roman" w:cstheme="minorHAnsi"/>
          <w:sz w:val="24"/>
          <w:szCs w:val="24"/>
        </w:rPr>
        <w:t>GCash</w:t>
      </w:r>
      <w:proofErr w:type="spellEnd"/>
      <w:r w:rsidRPr="0099482C">
        <w:rPr>
          <w:rFonts w:eastAsia="Times New Roman" w:cstheme="minorHAnsi"/>
          <w:sz w:val="24"/>
          <w:szCs w:val="24"/>
        </w:rPr>
        <w:t xml:space="preserve"> is a well-known mobile wallet in the Philippines that lets users send and receive money, pay bills, and make donations. </w:t>
      </w:r>
      <w:proofErr w:type="spellStart"/>
      <w:r w:rsidRPr="0099482C">
        <w:rPr>
          <w:rFonts w:eastAsia="Times New Roman" w:cstheme="minorHAnsi"/>
          <w:sz w:val="24"/>
          <w:szCs w:val="24"/>
        </w:rPr>
        <w:t>PayMaya</w:t>
      </w:r>
      <w:proofErr w:type="spellEnd"/>
      <w:r w:rsidRPr="0099482C">
        <w:rPr>
          <w:rFonts w:eastAsia="Times New Roman" w:cstheme="minorHAnsi"/>
          <w:sz w:val="24"/>
          <w:szCs w:val="24"/>
        </w:rPr>
        <w:t xml:space="preserve"> is a digital payments platform that lets users make online payments and donations. PayPal is a popular online payment system that lets users send and receive payments online. Making use of crowdfunding websites to generate money for particular initiatives or pursuits is an additional choice. Through crowdfunding sites, people can support a project or cause by making tiny financial contributions. A few well-known crowdfunding websites are Kickstarter, which enables users to launch fundraising campaigns for artistic endeavors, and </w:t>
      </w:r>
      <w:proofErr w:type="spellStart"/>
      <w:r w:rsidRPr="0099482C">
        <w:rPr>
          <w:rFonts w:eastAsia="Times New Roman" w:cstheme="minorHAnsi"/>
          <w:sz w:val="24"/>
          <w:szCs w:val="24"/>
        </w:rPr>
        <w:t>GoGetFunding</w:t>
      </w:r>
      <w:proofErr w:type="spellEnd"/>
      <w:r w:rsidRPr="0099482C">
        <w:rPr>
          <w:rFonts w:eastAsia="Times New Roman" w:cstheme="minorHAnsi"/>
          <w:sz w:val="24"/>
          <w:szCs w:val="24"/>
        </w:rPr>
        <w:t>, which enables users to launch campaigns for a variety of causes.</w:t>
      </w:r>
      <w:r>
        <w:rPr>
          <w:rFonts w:eastAsia="Times New Roman" w:cstheme="minorHAnsi"/>
          <w:sz w:val="24"/>
          <w:szCs w:val="24"/>
        </w:rPr>
        <w:t xml:space="preserve"> </w:t>
      </w:r>
      <w:r w:rsidRPr="0099482C">
        <w:rPr>
          <w:rFonts w:eastAsia="Times New Roman" w:cstheme="minorHAnsi"/>
          <w:sz w:val="24"/>
          <w:szCs w:val="24"/>
        </w:rPr>
        <w:t>Barangays can also develop their own mobile app to facilitate fundraising. The app can allow users to make donations, purchase merchandise, or participate in fundraising events.</w:t>
      </w:r>
    </w:p>
    <w:p w:rsidR="00C3055D" w:rsidRDefault="00C3055D" w:rsidP="0099482C">
      <w:pPr>
        <w:rPr>
          <w:rFonts w:eastAsia="Times New Roman" w:cstheme="minorHAnsi"/>
          <w:i/>
          <w:sz w:val="24"/>
          <w:szCs w:val="24"/>
        </w:rPr>
      </w:pPr>
    </w:p>
    <w:p w:rsidR="00C3055D" w:rsidRDefault="00C3055D" w:rsidP="0099482C">
      <w:pPr>
        <w:rPr>
          <w:rFonts w:eastAsia="Times New Roman" w:cstheme="minorHAnsi"/>
          <w:i/>
          <w:sz w:val="24"/>
          <w:szCs w:val="24"/>
        </w:rPr>
      </w:pPr>
    </w:p>
    <w:p w:rsidR="00C3055D" w:rsidRDefault="00C3055D" w:rsidP="0099482C">
      <w:pPr>
        <w:rPr>
          <w:rFonts w:eastAsia="Times New Roman" w:cstheme="minorHAnsi"/>
          <w:i/>
          <w:sz w:val="24"/>
          <w:szCs w:val="24"/>
        </w:rPr>
      </w:pPr>
    </w:p>
    <w:p w:rsidR="00C3055D" w:rsidRDefault="00C3055D" w:rsidP="0099482C">
      <w:pPr>
        <w:rPr>
          <w:rFonts w:eastAsia="Times New Roman" w:cstheme="minorHAnsi"/>
          <w:i/>
          <w:sz w:val="24"/>
          <w:szCs w:val="24"/>
        </w:rPr>
      </w:pPr>
    </w:p>
    <w:p w:rsidR="00C3055D" w:rsidRDefault="00C3055D" w:rsidP="0099482C">
      <w:pPr>
        <w:rPr>
          <w:rFonts w:eastAsia="Times New Roman" w:cstheme="minorHAnsi"/>
          <w:sz w:val="24"/>
          <w:szCs w:val="24"/>
        </w:rPr>
      </w:pPr>
      <w:r>
        <w:rPr>
          <w:rFonts w:eastAsia="Times New Roman" w:cstheme="minorHAnsi"/>
          <w:i/>
          <w:sz w:val="24"/>
          <w:szCs w:val="24"/>
        </w:rPr>
        <w:t>References:</w:t>
      </w:r>
    </w:p>
    <w:p w:rsidR="00C3055D" w:rsidRDefault="00C3055D" w:rsidP="0099482C">
      <w:pPr>
        <w:rPr>
          <w:rFonts w:cstheme="minorHAnsi"/>
        </w:rPr>
      </w:pPr>
      <w:hyperlink r:id="rId7" w:history="1">
        <w:r w:rsidRPr="00A411B0">
          <w:rPr>
            <w:rStyle w:val="Hyperlink"/>
            <w:rFonts w:cstheme="minorHAnsi"/>
          </w:rPr>
          <w:t>https://www.feathr.co/resources/blog/online-fundraising</w:t>
        </w:r>
      </w:hyperlink>
    </w:p>
    <w:p w:rsidR="00C3055D" w:rsidRDefault="00C3055D" w:rsidP="0099482C">
      <w:pPr>
        <w:rPr>
          <w:rFonts w:cstheme="minorHAnsi"/>
        </w:rPr>
      </w:pPr>
      <w:hyperlink r:id="rId8" w:history="1">
        <w:r w:rsidRPr="00A411B0">
          <w:rPr>
            <w:rStyle w:val="Hyperlink"/>
            <w:rFonts w:cstheme="minorHAnsi"/>
          </w:rPr>
          <w:t>https://www.preventionweb.net/files/62559_62559fundraisingforcbos.pdf</w:t>
        </w:r>
      </w:hyperlink>
    </w:p>
    <w:p w:rsidR="00C3055D" w:rsidRDefault="00C3055D" w:rsidP="0099482C">
      <w:pPr>
        <w:rPr>
          <w:rFonts w:cstheme="minorHAnsi"/>
        </w:rPr>
      </w:pPr>
      <w:hyperlink r:id="rId9" w:history="1">
        <w:r w:rsidRPr="00A411B0">
          <w:rPr>
            <w:rStyle w:val="Hyperlink"/>
            <w:rFonts w:cstheme="minorHAnsi"/>
          </w:rPr>
          <w:t>https://bcsinteractive.com/technology-for-nonprofits/how-to-choose-a-fundraising-platform-part-one/</w:t>
        </w:r>
      </w:hyperlink>
    </w:p>
    <w:p w:rsidR="00C3055D" w:rsidRDefault="00C3055D" w:rsidP="0099482C">
      <w:pPr>
        <w:rPr>
          <w:rFonts w:cstheme="minorHAnsi"/>
        </w:rPr>
      </w:pPr>
      <w:hyperlink r:id="rId10" w:history="1">
        <w:r w:rsidRPr="00A411B0">
          <w:rPr>
            <w:rStyle w:val="Hyperlink"/>
            <w:rFonts w:cstheme="minorHAnsi"/>
          </w:rPr>
          <w:t>https://www.galaxydigital.com/blog/community-needs-assessment</w:t>
        </w:r>
      </w:hyperlink>
    </w:p>
    <w:p w:rsidR="00C3055D" w:rsidRDefault="00C3055D" w:rsidP="0099482C">
      <w:pPr>
        <w:rPr>
          <w:rFonts w:cstheme="minorHAnsi"/>
        </w:rPr>
      </w:pPr>
    </w:p>
    <w:p w:rsidR="00C3055D" w:rsidRPr="00C3055D" w:rsidRDefault="00C3055D" w:rsidP="0099482C">
      <w:pPr>
        <w:rPr>
          <w:rFonts w:cstheme="minorHAnsi"/>
        </w:rPr>
      </w:pPr>
    </w:p>
    <w:p w:rsidR="0099482C" w:rsidRPr="0099482C" w:rsidRDefault="0099482C" w:rsidP="0099482C">
      <w:pPr>
        <w:rPr>
          <w:rFonts w:eastAsia="Times New Roman" w:cstheme="minorHAnsi"/>
          <w:sz w:val="24"/>
          <w:szCs w:val="24"/>
        </w:rPr>
      </w:pPr>
    </w:p>
    <w:p w:rsidR="0099482C" w:rsidRPr="0099482C" w:rsidRDefault="0099482C" w:rsidP="0099482C">
      <w:pPr>
        <w:rPr>
          <w:rFonts w:eastAsia="Times New Roman" w:cstheme="minorHAnsi"/>
          <w:sz w:val="24"/>
          <w:szCs w:val="24"/>
        </w:rPr>
      </w:pPr>
    </w:p>
    <w:p w:rsidR="0099482C" w:rsidRPr="0099482C" w:rsidRDefault="0099482C" w:rsidP="0099482C">
      <w:pPr>
        <w:spacing w:after="0" w:line="240" w:lineRule="auto"/>
        <w:rPr>
          <w:rFonts w:eastAsia="Times New Roman" w:cstheme="minorHAnsi"/>
          <w:sz w:val="24"/>
          <w:szCs w:val="24"/>
        </w:rPr>
      </w:pPr>
    </w:p>
    <w:p w:rsidR="00D05D66" w:rsidRPr="0099482C" w:rsidRDefault="00D05D66" w:rsidP="0099482C">
      <w:pPr>
        <w:rPr>
          <w:rFonts w:cstheme="minorHAnsi"/>
        </w:rPr>
      </w:pPr>
    </w:p>
    <w:sectPr w:rsidR="00D05D66" w:rsidRPr="00994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82C"/>
    <w:rsid w:val="00726D8F"/>
    <w:rsid w:val="0099482C"/>
    <w:rsid w:val="00C3055D"/>
    <w:rsid w:val="00D05D66"/>
    <w:rsid w:val="00EE3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F1213"/>
  <w15:chartTrackingRefBased/>
  <w15:docId w15:val="{41996D03-7C28-49EA-AE99-D4746FF6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48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13610">
      <w:bodyDiv w:val="1"/>
      <w:marLeft w:val="0"/>
      <w:marRight w:val="0"/>
      <w:marTop w:val="0"/>
      <w:marBottom w:val="0"/>
      <w:divBdr>
        <w:top w:val="none" w:sz="0" w:space="0" w:color="auto"/>
        <w:left w:val="none" w:sz="0" w:space="0" w:color="auto"/>
        <w:bottom w:val="none" w:sz="0" w:space="0" w:color="auto"/>
        <w:right w:val="none" w:sz="0" w:space="0" w:color="auto"/>
      </w:divBdr>
    </w:div>
    <w:div w:id="683364253">
      <w:bodyDiv w:val="1"/>
      <w:marLeft w:val="0"/>
      <w:marRight w:val="0"/>
      <w:marTop w:val="0"/>
      <w:marBottom w:val="0"/>
      <w:divBdr>
        <w:top w:val="none" w:sz="0" w:space="0" w:color="auto"/>
        <w:left w:val="none" w:sz="0" w:space="0" w:color="auto"/>
        <w:bottom w:val="none" w:sz="0" w:space="0" w:color="auto"/>
        <w:right w:val="none" w:sz="0" w:space="0" w:color="auto"/>
      </w:divBdr>
    </w:div>
    <w:div w:id="1104763558">
      <w:bodyDiv w:val="1"/>
      <w:marLeft w:val="0"/>
      <w:marRight w:val="0"/>
      <w:marTop w:val="0"/>
      <w:marBottom w:val="0"/>
      <w:divBdr>
        <w:top w:val="none" w:sz="0" w:space="0" w:color="auto"/>
        <w:left w:val="none" w:sz="0" w:space="0" w:color="auto"/>
        <w:bottom w:val="none" w:sz="0" w:space="0" w:color="auto"/>
        <w:right w:val="none" w:sz="0" w:space="0" w:color="auto"/>
      </w:divBdr>
    </w:div>
    <w:div w:id="1381517155">
      <w:bodyDiv w:val="1"/>
      <w:marLeft w:val="0"/>
      <w:marRight w:val="0"/>
      <w:marTop w:val="0"/>
      <w:marBottom w:val="0"/>
      <w:divBdr>
        <w:top w:val="none" w:sz="0" w:space="0" w:color="auto"/>
        <w:left w:val="none" w:sz="0" w:space="0" w:color="auto"/>
        <w:bottom w:val="none" w:sz="0" w:space="0" w:color="auto"/>
        <w:right w:val="none" w:sz="0" w:space="0" w:color="auto"/>
      </w:divBdr>
    </w:div>
    <w:div w:id="211409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eventionweb.net/files/62559_62559fundraisingforcbos.pdf" TargetMode="External"/><Relationship Id="rId3" Type="http://schemas.openxmlformats.org/officeDocument/2006/relationships/webSettings" Target="webSettings.xml"/><Relationship Id="rId7" Type="http://schemas.openxmlformats.org/officeDocument/2006/relationships/hyperlink" Target="https://www.feathr.co/resources/blog/online-fundrais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lobalscientificjournal.com/researchpaper/ENHANCEMENT_OF_BARANGAY_MANAGEMENT_SYSTEM.pdf" TargetMode="External"/><Relationship Id="rId11" Type="http://schemas.openxmlformats.org/officeDocument/2006/relationships/fontTable" Target="fontTable.xml"/><Relationship Id="rId5" Type="http://schemas.openxmlformats.org/officeDocument/2006/relationships/hyperlink" Target="https://blgf.gov.ph/wp-content/uploads/2015/12/SREManual.pdf" TargetMode="External"/><Relationship Id="rId10" Type="http://schemas.openxmlformats.org/officeDocument/2006/relationships/hyperlink" Target="https://www.galaxydigital.com/blog/community-needs-assessment" TargetMode="External"/><Relationship Id="rId4" Type="http://schemas.openxmlformats.org/officeDocument/2006/relationships/hyperlink" Target="https://www.dbm.gov.ph/wp-content/uploads/2012/03/BB-4.pdf" TargetMode="External"/><Relationship Id="rId9" Type="http://schemas.openxmlformats.org/officeDocument/2006/relationships/hyperlink" Target="https://bcsinteractive.com/technology-for-nonprofits/how-to-choose-a-fundraising-platform-par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2024-09-22T05:05:00Z</dcterms:created>
  <dcterms:modified xsi:type="dcterms:W3CDTF">2024-09-22T05:21:00Z</dcterms:modified>
</cp:coreProperties>
</file>