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Test Testing</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12</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June</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Test Testing</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Test Address 1 Test Address 2, Humacao, PR 00791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