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PAUL  GOLDSMITH</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15</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PAUL  GOLDSMITH</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3247 ANNAS RETREAT , ST THOMAS, VI 00801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