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29</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May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29</w:t>
      </w:r>
      <w:bookmarkEnd w:id="3"/>
      <w:r w:rsidRPr="00CA18F0">
        <w:rPr>
          <w:rFonts w:ascii="Arial Narrow" w:hAnsi="Arial Narrow"/>
        </w:rPr>
        <w:t xml:space="preserve"> day of </w:t>
      </w:r>
      <w:bookmarkStart w:id="4" w:name="Month"/>
      <w:r w:rsidR="00012611" w:rsidRPr="00DA067E">
        <w:rPr>
          <w:rFonts w:ascii="Arial Narrow" w:hAnsi="Arial Narrow"/>
          <w:b/>
          <w:bCs/>
          <w:u w:val="single"/>
        </w:rPr>
        <w:t>May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OCTAVIO ESTRADA, VICE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29</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May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VICE 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29</w:t>
      </w:r>
      <w:bookmarkEnd w:id="12"/>
      <w:r>
        <w:rPr>
          <w:rFonts w:ascii="Arial Narrow" w:hAnsi="Arial Narrow"/>
        </w:rPr>
        <w:t xml:space="preserve"> day of </w:t>
      </w:r>
      <w:bookmarkStart w:id="13" w:name="Month3"/>
      <w:r>
        <w:rPr>
          <w:rFonts w:ascii="Arial Narrow" w:hAnsi="Arial Narrow"/>
        </w:rPr>
        <w:t>May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