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t xml:space="preserve">A2UI SPECIFICATIONS</w:t>
      </w:r>
    </w:p>
    <w:p>
      <w:pPr>
        <w:spacing w:after="100"/>
        <w:jc w:val="center"/>
      </w:pPr>
      <w:r>
        <w:t xml:space="preserve">A JSON-Based, Streaming UI Protocol</w:t>
      </w:r>
    </w:p>
    <w:p>
      <w:pPr>
        <w:spacing w:after="400"/>
        <w:jc w:val="center"/>
      </w:pPr>
      <w:r>
        <w:t xml:space="preserve">Reference Documentation</w:t>
      </w:r>
    </w:p>
    <w:p>
      <w:pPr>
        <w:spacing w:after="600"/>
        <w:jc w:val="center"/>
      </w:pPr>
      <w:r>
        <w:t xml:space="preserve">Version 0.9.1 | Current Production | Last Updated: December 3, 2025</w:t>
      </w:r>
    </w:p>
    <w:p>
      <w:pPr>
        <w:spacing w:after="400"/>
        <w:jc w:val="center"/>
      </w:pPr>
      <w:r>
        <w:t xml:space="preserve">Source: a2ui.org — Snapshot taken July 27, 2026</w:t>
      </w:r>
    </w:p>
    <w:r>
      <w:br w:type="page"/>
    </w:r>
    <w:p>
      <w:pPr>
        <w:pStyle w:val="Heading1"/>
        <w:spacing w:after="300" w:before="200"/>
      </w:pPr>
      <w:r>
        <w:t xml:space="preserve">TABLE OF CONTENTS</w:t>
      </w:r>
    </w:p>
    <w:p>
      <w:pPr>
        <w:spacing w:after="50" w:before="100"/>
        <w:ind w:left="200"/>
      </w:pPr>
      <w:r>
        <w:t xml:space="preserve">§1 — A2UI Protocol v0.9.1</w:t>
      </w:r>
    </w:p>
    <w:p>
      <w:pPr>
        <w:spacing w:after="50" w:before="100"/>
        <w:ind w:left="200"/>
      </w:pPr>
      <w:r>
        <w:t xml:space="preserve">§2 — A2UI Basic Catalog Implementation Guide v0.9.1</w:t>
      </w:r>
    </w:p>
    <w:p>
      <w:pPr>
        <w:spacing w:after="300" w:before="100"/>
        <w:ind w:left="200"/>
      </w:pPr>
      <w:r>
        <w:t xml:space="preserve">§3 — A2UI Extension for A2A Protocol v0.9.1</w:t>
      </w:r>
    </w:p>
    <w:r>
      <w:br w:type="page"/>
    </w:r>
    <w:p>
      <w:pPr>
        <w:pStyle w:val="Heading1"/>
        <w:spacing w:after="200" w:before="200"/>
      </w:pPr>
      <w:r>
        <w:t xml:space="preserve">§1 — A2UI Protocol v0.9.1</w:t>
      </w:r>
    </w:p>
    <w:p>
      <w:pPr>
        <w:spacing w:after="300"/>
      </w:pPr>
      <w:r>
        <w:t xml:space="preserve">A Specification for a JSON-Based, Streaming UI Protocol</w:t>
      </w:r>
    </w:p>
    <w:p>
      <w:pPr>
        <w:pStyle w:val="Heading2"/>
        <w:spacing w:after="100" w:before="200"/>
      </w:pPr>
      <w:r>
        <w:t xml:space="preserve">INTRODUCTION</w:t>
      </w:r>
    </w:p>
    <w:p>
      <w:pPr>
        <w:spacing w:after="200"/>
      </w:pPr>
      <w:r>
        <w:t xml:space="preserve">The A2UI Protocol is designed for dynamically rendering user interfaces from a stream of JSON objects sent from a server (Agent). Its core philosophy emphasizes a clean separation of UI structure and application data, enabling progressive rendering as the client processes each message.</w:t>
      </w:r>
    </w:p>
    <w:p>
      <w:pPr>
        <w:spacing w:after="100"/>
      </w:pPr>
      <w:r>
        <w:t xml:space="preserve">Communication occurs via a stream of JSON objects. The client parses each object as a distinct message and incrementally builds or updates the UI. The server-to-client protocol defines four message types:</w:t>
      </w:r>
    </w:p>
    <w:p>
      <w:pPr>
        <w:spacing w:after="50" w:before="50"/>
        <w:ind w:left="400"/>
      </w:pPr>
      <w:r>
        <w:t xml:space="preserve">createSurface — Signals the client to create a new surface and begin rendering it.</w:t>
      </w:r>
    </w:p>
    <w:p>
      <w:pPr>
        <w:spacing w:after="50" w:before="50"/>
        <w:ind w:left="400"/>
      </w:pPr>
      <w:r>
        <w:t xml:space="preserve">updateComponents — Provides a list of component definitions to be added to or updated in a specific surface.</w:t>
      </w:r>
    </w:p>
    <w:p>
      <w:pPr>
        <w:spacing w:after="50" w:before="50"/>
        <w:ind w:left="400"/>
      </w:pPr>
      <w:r>
        <w:t xml:space="preserve">updateDataModel — Provides new data to be inserted into or to replace a surface's data model.</w:t>
      </w:r>
    </w:p>
    <w:p>
      <w:pPr>
        <w:spacing w:after="300" w:before="50"/>
        <w:ind w:left="400"/>
      </w:pPr>
      <w:r>
        <w:t xml:space="preserve">deleteSurface — Explicitly removes a surface and its contents from the UI.</w:t>
      </w:r>
    </w:p>
    <w:p>
      <w:pPr>
        <w:pStyle w:val="Heading2"/>
        <w:spacing w:after="100" w:before="200"/>
      </w:pPr>
      <w:r>
        <w:t xml:space="preserve">PROTOCOL OVERVIEW &amp; DATA FLOW</w:t>
      </w:r>
    </w:p>
    <w:p>
      <w:pPr>
        <w:spacing w:after="200"/>
      </w:pPr>
      <w:r>
        <w:t xml:space="preserve">The A2UI protocol uses a unidirectional stream of JSON messages from the server to the client to describe and update the UI. The client consumes this stream, builds the UI, and renders it. User interactions are handled separately, typically by sending events to a different endpoint, which may in turn trigger new messages on the UI stream.</w:t>
      </w:r>
    </w:p>
    <w:p>
      <w:pPr>
        <w:pStyle w:val="Heading3"/>
        <w:spacing w:after="100" w:before="100"/>
      </w:pPr>
      <w:r>
        <w:t xml:space="preserve">Typical Event Sequence:</w:t>
      </w:r>
    </w:p>
    <w:p>
      <w:pPr>
        <w:spacing w:after="50" w:before="50"/>
        <w:ind w:left="400"/>
      </w:pPr>
      <w:r>
        <w:t xml:space="preserve">Create Surface — The server sends a createSurface message to initialize the surface.</w:t>
      </w:r>
    </w:p>
    <w:p>
      <w:pPr>
        <w:spacing w:after="50" w:before="50"/>
        <w:ind w:left="400"/>
      </w:pPr>
      <w:r>
        <w:t xml:space="preserve">Update Surface — Once a surface has been created, the server sends one or more updateComponents messages containing the definitions for all the components that will be part of the surface.</w:t>
      </w:r>
    </w:p>
    <w:p>
      <w:pPr>
        <w:spacing w:after="50" w:before="50"/>
        <w:ind w:left="400"/>
      </w:pPr>
      <w:r>
        <w:t xml:space="preserve">Update Data Model — Once a surface has been created, the server can send updateDataModel messages at any time to populate or change the data that the UI components will display.</w:t>
      </w:r>
    </w:p>
    <w:p>
      <w:pPr>
        <w:spacing w:after="50" w:before="50"/>
        <w:ind w:left="400"/>
      </w:pPr>
      <w:r>
        <w:t xml:space="preserve">Render — The client renders the UI for the surface, using the component definitions to build the structure and the data model to populate the content.</w:t>
      </w:r>
    </w:p>
    <w:p>
      <w:pPr>
        <w:spacing w:after="50" w:before="50"/>
        <w:ind w:left="400"/>
      </w:pPr>
      <w:r>
        <w:t xml:space="preserve">Dynamic Updates — As the user interacts with the application or as new information becomes available, the server can send additional updateComponents and updateDataModel messages to dynamically change the UI.</w:t>
      </w:r>
    </w:p>
    <w:p>
      <w:pPr>
        <w:spacing w:after="300" w:before="50"/>
        <w:ind w:left="400"/>
      </w:pPr>
      <w:r>
        <w:t xml:space="preserve">Delete Surface — When a UI region is no longer needed, the server sends a deleteSurface message to remove it.</w:t>
      </w:r>
    </w:p>
    <w:p>
      <w:pPr>
        <w:pStyle w:val="Heading2"/>
        <w:spacing w:after="100" w:before="200"/>
      </w:pPr>
      <w:r>
        <w:t xml:space="preserve">TRANSPORT DECOUPLING</w:t>
      </w:r>
    </w:p>
    <w:p>
      <w:pPr>
        <w:spacing w:after="200"/>
      </w:pPr>
      <w:r>
        <w:t xml:space="preserve">The A2UI protocol is designed to be transport-agnostic. It defines the JSON message structure and the semantic contract between the server (Agent) and the client (Renderer), but it does not mandate a specific transport layer.</w:t>
      </w:r>
    </w:p>
    <w:p>
      <w:pPr>
        <w:pStyle w:val="Heading3"/>
        <w:spacing w:after="100" w:before="100"/>
      </w:pPr>
      <w:r>
        <w:t xml:space="preserve">The Transport Contract</w:t>
      </w:r>
    </w:p>
    <w:p>
      <w:pPr>
        <w:spacing w:after="100"/>
      </w:pPr>
      <w:r>
        <w:t xml:space="preserve">To support A2UI, a transport layer must fulfill the following contract:</w:t>
      </w:r>
    </w:p>
    <w:p>
      <w:pPr>
        <w:spacing w:after="50" w:before="50"/>
        <w:ind w:left="400"/>
      </w:pPr>
      <w:r>
        <w:t xml:space="preserve">Reliable Delivery — Messages must be delivered in the order they were generated.</w:t>
      </w:r>
    </w:p>
    <w:p>
      <w:pPr>
        <w:spacing w:after="50" w:before="50"/>
        <w:ind w:left="400"/>
      </w:pPr>
      <w:r>
        <w:t xml:space="preserve">Message Framing — The transport must clearly delimit individual JSON envelope messages.</w:t>
      </w:r>
    </w:p>
    <w:p>
      <w:pPr>
        <w:spacing w:after="50" w:before="50"/>
        <w:ind w:left="400"/>
      </w:pPr>
      <w:r>
        <w:t xml:space="preserve">Metadata Support — The transport must provide a mechanism to associate metadata with messages.</w:t>
      </w:r>
    </w:p>
    <w:p>
      <w:pPr>
        <w:spacing w:after="300" w:before="50"/>
        <w:ind w:left="400"/>
      </w:pPr>
      <w:r>
        <w:t xml:space="preserve">Bidirectional Capability (Optional) — While the rendering stream is unidirectional (Server → Client), interactive applications require a return channel for action messages (Client → Server).</w:t>
      </w:r>
    </w:p>
    <w:p>
      <w:pPr>
        <w:pStyle w:val="Heading3"/>
        <w:spacing w:after="100" w:before="100"/>
      </w:pPr>
      <w:r>
        <w:t xml:space="preserve">Supported Transport Bindings</w:t>
      </w:r>
    </w:p>
    <w:p>
      <w:pPr>
        <w:spacing w:after="50" w:before="50"/>
        <w:ind w:left="400"/>
      </w:pPr>
      <w:r>
        <w:t xml:space="preserve">A2A (Agent2Agent) Binding — Excellent transport option for A2UI in agentic systems. A2A is uniquely capable of handling remote agent communication and can provide secure, efficient transport between an agentic backend and front end application.</w:t>
      </w:r>
    </w:p>
    <w:p>
      <w:pPr>
        <w:spacing w:after="50" w:before="50"/>
        <w:ind w:left="400"/>
      </w:pPr>
      <w:r>
        <w:t xml:space="preserve">AG-UI (Agent to User Interface) Binding — Provides convenient integrations into many agent frameworks and frontends with low latency and shared state message passing.</w:t>
      </w:r>
    </w:p>
    <w:p>
      <w:pPr>
        <w:spacing w:after="300" w:before="50"/>
        <w:ind w:left="400"/>
      </w:pPr>
      <w:r>
        <w:t xml:space="preserve">Other Transports — MCP (Model Context Protocol), SSE with JSON RPC, WebSockets, REST</w:t>
      </w:r>
    </w:p>
    <w:r>
      <w:br w:type="page"/>
    </w:r>
    <w:p>
      <w:pPr>
        <w:pStyle w:val="Heading2"/>
        <w:spacing w:after="100" w:before="200"/>
      </w:pPr>
      <w:r>
        <w:t xml:space="preserve">PROTOCOL SCHEMAS</w:t>
      </w:r>
    </w:p>
    <w:p>
      <w:pPr>
        <w:spacing w:after="200"/>
      </w:pPr>
      <w:r>
        <w:t xml:space="preserve">A2UI v0.9.1 is defined by three interacting JSON schemas:</w:t>
      </w:r>
    </w:p>
    <w:p>
      <w:pPr>
        <w:pStyle w:val="Heading3"/>
        <w:spacing w:after="100" w:before="100"/>
      </w:pPr>
      <w:r>
        <w:t xml:space="preserve">Common Types</w:t>
      </w:r>
    </w:p>
    <w:p>
      <w:pPr>
        <w:spacing w:after="200"/>
      </w:pPr>
      <w:r>
        <w:t xml:space="preserve">The common_types.json schema defines reusable primitives used throughout the protocol, including Dynamic types (DynamicString, DynamicNumber, DynamicBoolean, DynamicStringList), ChildList definitions, and ComponentId references.</w:t>
      </w:r>
    </w:p>
    <w:p>
      <w:pPr>
        <w:pStyle w:val="Heading3"/>
        <w:spacing w:after="100" w:before="100"/>
      </w:pPr>
      <w:r>
        <w:t xml:space="preserve">Server to Client Message Structure</w:t>
      </w:r>
    </w:p>
    <w:p>
      <w:pPr>
        <w:spacing w:after="200"/>
      </w:pPr>
      <w:r>
        <w:t xml:space="preserve">The server_to_client.json schema is the top-level entry point. Every message streamed by the server must validate against this schema and handles message dispatching.</w:t>
      </w:r>
    </w:p>
    <w:p>
      <w:pPr>
        <w:pStyle w:val="Heading3"/>
        <w:spacing w:after="100" w:before="100"/>
      </w:pPr>
      <w:r>
        <w:t xml:space="preserve">The Basic Catalog</w:t>
      </w:r>
    </w:p>
    <w:p>
      <w:pPr>
        <w:spacing w:after="200"/>
      </w:pPr>
      <w:r>
        <w:t xml:space="preserve">The catalogs/basic/catalog.json schema contains definitions for all specific UI components (Text, Button, Row), functions (required, email), and the theme schema. Most production applications will define their own catalog to reflect their specific design system.</w:t>
      </w:r>
    </w:p>
    <w:p>
      <w:pPr>
        <w:pStyle w:val="Heading2"/>
        <w:spacing w:after="100" w:before="200"/>
      </w:pPr>
      <w:r>
        <w:t xml:space="preserve">ENVELOPE MESSAGE STRUCTURE</w:t>
      </w:r>
    </w:p>
    <w:p>
      <w:pPr>
        <w:spacing w:after="200"/>
      </w:pPr>
      <w:r>
        <w:t xml:space="preserve">The envelope defines four primary message types. Every message streamed by the server must be a JSON object containing exactly one of the following keys: createSurface, updateComponents, updateDataModel, or deleteSurface.</w:t>
      </w:r>
    </w:p>
    <w:p>
      <w:pPr>
        <w:pStyle w:val="Heading3"/>
        <w:spacing w:after="100" w:before="100"/>
      </w:pPr>
      <w:r>
        <w:t xml:space="preserve">Message Type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gridCol w:w="2740"/>
      </w:tblGrid>
      <w:tr>
        <w:trPr>
          <w:tblHeader/>
          <w:trHeight w:val="400" w:hRule="auto"/>
        </w:trPr>
        <w:tc>
          <w:tcPr>
            <w:shd w:fill="4472C4" w:val="clear"/>
            <w:vAlign w:val="center"/>
          </w:tcPr>
          <w:p>
            <w:r>
              <w:t xml:space="preserve">Message Type</w:t>
            </w:r>
          </w:p>
        </w:tc>
        <w:tc>
          <w:tcPr>
            <w:shd w:fill="4472C4" w:val="clear"/>
            <w:vAlign w:val="center"/>
          </w:tcPr>
          <w:p>
            <w:r>
              <w:t xml:space="preserve">Description</w:t>
            </w:r>
          </w:p>
        </w:tc>
        <w:tc>
          <w:tcPr>
            <w:shd w:fill="4472C4" w:val="clear"/>
            <w:vAlign w:val="center"/>
          </w:tcPr>
          <w:p>
            <w:r>
              <w:t xml:space="preserve">Required Props</w:t>
            </w:r>
          </w:p>
        </w:tc>
      </w:tr>
      <w:tr>
        <w:tc>
          <w:tcPr>
            <w:shd w:fill="D9E8F5" w:val="clear"/>
          </w:tcPr>
          <w:p>
            <w:r>
              <w:t xml:space="preserve">createSurface</w:t>
            </w:r>
          </w:p>
        </w:tc>
        <w:tc>
          <w:tcPr>
            <w:shd w:fill="D9E8F5" w:val="clear"/>
          </w:tcPr>
          <w:p>
            <w:r>
              <w:t xml:space="preserve">Signals the client to create a new surface and begin rendering it.</w:t>
            </w:r>
          </w:p>
        </w:tc>
        <w:tc>
          <w:tcPr>
            <w:shd w:fill="D9E8F5" w:val="clear"/>
          </w:tcPr>
          <w:p>
            <w:r>
              <w:t xml:space="preserve">surfaceId, catalogId</w:t>
            </w:r>
          </w:p>
        </w:tc>
      </w:tr>
      <w:tr>
        <w:tc>
          <w:tcPr>
            <w:shd w:fill="E7E6E6" w:val="clear"/>
          </w:tcPr>
          <w:p>
            <w:r>
              <w:t xml:space="preserve">updateComponents</w:t>
            </w:r>
          </w:p>
        </w:tc>
        <w:tc>
          <w:tcPr>
            <w:shd w:fill="E7E6E6" w:val="clear"/>
          </w:tcPr>
          <w:p>
            <w:r>
              <w:t xml:space="preserve">Provides a list of UI components to be added to or updated in a specific surface.</w:t>
            </w:r>
          </w:p>
        </w:tc>
        <w:tc>
          <w:tcPr>
            <w:shd w:fill="E7E6E6" w:val="clear"/>
          </w:tcPr>
          <w:p>
            <w:r>
              <w:t xml:space="preserve">surfaceId, components</w:t>
            </w:r>
          </w:p>
        </w:tc>
      </w:tr>
      <w:tr>
        <w:tc>
          <w:tcPr>
            <w:shd w:fill="D9E8F5" w:val="clear"/>
          </w:tcPr>
          <w:p>
            <w:r>
              <w:t xml:space="preserve">updateDataModel</w:t>
            </w:r>
          </w:p>
        </w:tc>
        <w:tc>
          <w:tcPr>
            <w:shd w:fill="D9E8F5" w:val="clear"/>
          </w:tcPr>
          <w:p>
            <w:r>
              <w:t xml:space="preserve">Provides new data to be inserted into or to replace a surface's data model.</w:t>
            </w:r>
          </w:p>
        </w:tc>
        <w:tc>
          <w:tcPr>
            <w:shd w:fill="D9E8F5" w:val="clear"/>
          </w:tcPr>
          <w:p>
            <w:r>
              <w:t xml:space="preserve">surfaceId</w:t>
            </w:r>
          </w:p>
        </w:tc>
      </w:tr>
      <w:tr>
        <w:tc>
          <w:tcPr>
            <w:shd w:fill="E7E6E6" w:val="clear"/>
          </w:tcPr>
          <w:p>
            <w:r>
              <w:t xml:space="preserve">deleteSurface</w:t>
            </w:r>
          </w:p>
        </w:tc>
        <w:tc>
          <w:tcPr>
            <w:shd w:fill="E7E6E6" w:val="clear"/>
          </w:tcPr>
          <w:p>
            <w:r>
              <w:t xml:space="preserve">Instructs the client to remove a surface and all its associated components and data.</w:t>
            </w:r>
          </w:p>
        </w:tc>
        <w:tc>
          <w:tcPr>
            <w:shd w:fill="E7E6E6" w:val="clear"/>
          </w:tcPr>
          <w:p>
            <w:r>
              <w:t xml:space="preserve">surfaceId</w:t>
            </w:r>
          </w:p>
        </w:tc>
      </w:tr>
    </w:tbl>
    <w:p/>
    <w:p>
      <w:pPr>
        <w:pStyle w:val="Heading2"/>
        <w:spacing w:after="100" w:before="300"/>
      </w:pPr>
      <w:r>
        <w:t xml:space="preserve">BASIC COMPONENT CATALOG</w:t>
      </w:r>
    </w:p>
    <w:p>
      <w:pPr>
        <w:spacing w:after="200"/>
      </w:pPr>
      <w:r>
        <w:t xml:space="preserve">The catalogs/basic/catalog.json provides the baseline set of components and functions.</w:t>
      </w:r>
    </w:p>
    <w:p>
      <w:pPr>
        <w:pStyle w:val="Heading3"/>
        <w:spacing w:after="100" w:before="100"/>
      </w:pPr>
      <w:r>
        <w:t xml:space="preserve">UI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740"/>
      </w:tblGrid>
      <w:tr>
        <w:trPr>
          <w:tblHeader/>
          <w:trHeight w:val="400" w:hRule="auto"/>
        </w:trPr>
        <w:tc>
          <w:tcPr>
            <w:shd w:fill="4472C4" w:val="clear"/>
            <w:vAlign w:val="center"/>
          </w:tcPr>
          <w:p>
            <w:r>
              <w:t xml:space="preserve">Component</w:t>
            </w:r>
          </w:p>
        </w:tc>
        <w:tc>
          <w:tcPr>
            <w:shd w:fill="4472C4" w:val="clear"/>
            <w:vAlign w:val="center"/>
          </w:tcPr>
          <w:p>
            <w:r>
              <w:t xml:space="preserve">Description</w:t>
            </w:r>
          </w:p>
        </w:tc>
      </w:tr>
      <w:tr>
        <w:tc>
          <w:tcPr>
            <w:shd w:fill="D9E8F5" w:val="clear"/>
          </w:tcPr>
          <w:p>
            <w:r>
              <w:t xml:space="preserve">Text</w:t>
            </w:r>
          </w:p>
        </w:tc>
        <w:tc>
          <w:tcPr>
            <w:shd w:fill="D9E8F5" w:val="clear"/>
          </w:tcPr>
          <w:p>
            <w:r>
              <w:t xml:space="preserve">Displays text content. Supports simple Markdown.</w:t>
            </w:r>
          </w:p>
        </w:tc>
      </w:tr>
      <w:tr>
        <w:tc>
          <w:tcPr>
            <w:shd w:fill="E7E6E6" w:val="clear"/>
          </w:tcPr>
          <w:p>
            <w:r>
              <w:t xml:space="preserve">Image</w:t>
            </w:r>
          </w:p>
        </w:tc>
        <w:tc>
          <w:tcPr>
            <w:shd w:fill="E7E6E6" w:val="clear"/>
          </w:tcPr>
          <w:p>
            <w:r>
              <w:t xml:space="preserve">Displays an image from a URL.</w:t>
            </w:r>
          </w:p>
        </w:tc>
      </w:tr>
      <w:tr>
        <w:tc>
          <w:tcPr>
            <w:shd w:fill="D9E8F5" w:val="clear"/>
          </w:tcPr>
          <w:p>
            <w:r>
              <w:t xml:space="preserve">Icon</w:t>
            </w:r>
          </w:p>
        </w:tc>
        <w:tc>
          <w:tcPr>
            <w:shd w:fill="D9E8F5" w:val="clear"/>
          </w:tcPr>
          <w:p>
            <w:r>
              <w:t xml:space="preserve">Displays a system-provided icon from a predefined list.</w:t>
            </w:r>
          </w:p>
        </w:tc>
      </w:tr>
      <w:tr>
        <w:tc>
          <w:tcPr>
            <w:shd w:fill="E7E6E6" w:val="clear"/>
          </w:tcPr>
          <w:p>
            <w:r>
              <w:t xml:space="preserve">Row</w:t>
            </w:r>
          </w:p>
        </w:tc>
        <w:tc>
          <w:tcPr>
            <w:shd w:fill="E7E6E6" w:val="clear"/>
          </w:tcPr>
          <w:p>
            <w:r>
              <w:t xml:space="preserve">A horizontal layout container.</w:t>
            </w:r>
          </w:p>
        </w:tc>
      </w:tr>
      <w:tr>
        <w:tc>
          <w:tcPr>
            <w:shd w:fill="D9E8F5" w:val="clear"/>
          </w:tcPr>
          <w:p>
            <w:r>
              <w:t xml:space="preserve">Column</w:t>
            </w:r>
          </w:p>
        </w:tc>
        <w:tc>
          <w:tcPr>
            <w:shd w:fill="D9E8F5" w:val="clear"/>
          </w:tcPr>
          <w:p>
            <w:r>
              <w:t xml:space="preserve">A vertical layout container.</w:t>
            </w:r>
          </w:p>
        </w:tc>
      </w:tr>
      <w:tr>
        <w:tc>
          <w:tcPr>
            <w:shd w:fill="E7E6E6" w:val="clear"/>
          </w:tcPr>
          <w:p>
            <w:r>
              <w:t xml:space="preserve">List</w:t>
            </w:r>
          </w:p>
        </w:tc>
        <w:tc>
          <w:tcPr>
            <w:shd w:fill="E7E6E6" w:val="clear"/>
          </w:tcPr>
          <w:p>
            <w:r>
              <w:t xml:space="preserve">A scrollable list of components.</w:t>
            </w:r>
          </w:p>
        </w:tc>
      </w:tr>
      <w:tr>
        <w:tc>
          <w:tcPr>
            <w:shd w:fill="D9E8F5" w:val="clear"/>
          </w:tcPr>
          <w:p>
            <w:r>
              <w:t xml:space="preserve">Card</w:t>
            </w:r>
          </w:p>
        </w:tc>
        <w:tc>
          <w:tcPr>
            <w:shd w:fill="D9E8F5" w:val="clear"/>
          </w:tcPr>
          <w:p>
            <w:r>
              <w:t xml:space="preserve">A container with card-like styling that visually groups its child.</w:t>
            </w:r>
          </w:p>
        </w:tc>
      </w:tr>
      <w:tr>
        <w:tc>
          <w:tcPr>
            <w:shd w:fill="E7E6E6" w:val="clear"/>
          </w:tcPr>
          <w:p>
            <w:r>
              <w:t xml:space="preserve">Button</w:t>
            </w:r>
          </w:p>
        </w:tc>
        <w:tc>
          <w:tcPr>
            <w:shd w:fill="E7E6E6" w:val="clear"/>
          </w:tcPr>
          <w:p>
            <w:r>
              <w:t xml:space="preserve">A clickable button that dispatches an action.</w:t>
            </w:r>
          </w:p>
        </w:tc>
      </w:tr>
      <w:tr>
        <w:tc>
          <w:tcPr>
            <w:shd w:fill="D9E8F5" w:val="clear"/>
          </w:tcPr>
          <w:p>
            <w:r>
              <w:t xml:space="preserve">TextField</w:t>
            </w:r>
          </w:p>
        </w:tc>
        <w:tc>
          <w:tcPr>
            <w:shd w:fill="D9E8F5" w:val="clear"/>
          </w:tcPr>
          <w:p>
            <w:r>
              <w:t xml:space="preserve">A field for user text input. Supports two-way binding.</w:t>
            </w:r>
          </w:p>
        </w:tc>
      </w:tr>
      <w:tr>
        <w:tc>
          <w:tcPr>
            <w:shd w:fill="E7E6E6" w:val="clear"/>
          </w:tcPr>
          <w:p>
            <w:r>
              <w:t xml:space="preserve">CheckBox</w:t>
            </w:r>
          </w:p>
        </w:tc>
        <w:tc>
          <w:tcPr>
            <w:shd w:fill="E7E6E6" w:val="clear"/>
          </w:tcPr>
          <w:p>
            <w:r>
              <w:t xml:space="preserve">A toggleable control with a label and boolean value.</w:t>
            </w:r>
          </w:p>
        </w:tc>
      </w:tr>
      <w:tr>
        <w:tc>
          <w:tcPr>
            <w:shd w:fill="D9E8F5" w:val="clear"/>
          </w:tcPr>
          <w:p>
            <w:r>
              <w:t xml:space="preserve">ChoicePicker</w:t>
            </w:r>
          </w:p>
        </w:tc>
        <w:tc>
          <w:tcPr>
            <w:shd w:fill="D9E8F5" w:val="clear"/>
          </w:tcPr>
          <w:p>
            <w:r>
              <w:t xml:space="preserve">A component for selecting one or more options from a list.</w:t>
            </w:r>
          </w:p>
        </w:tc>
      </w:tr>
      <w:tr>
        <w:tc>
          <w:tcPr>
            <w:shd w:fill="E7E6E6" w:val="clear"/>
          </w:tcPr>
          <w:p>
            <w:r>
              <w:t xml:space="preserve">Slider</w:t>
            </w:r>
          </w:p>
        </w:tc>
        <w:tc>
          <w:tcPr>
            <w:shd w:fill="E7E6E6" w:val="clear"/>
          </w:tcPr>
          <w:p>
            <w:r>
              <w:t xml:space="preserve">A slider for selecting a numeric value within a range.</w:t>
            </w:r>
          </w:p>
        </w:tc>
      </w:tr>
    </w:tbl>
    <w:p>
      <w:pPr>
        <w:spacing w:after="300"/>
      </w:pPr>
    </w:p>
    <w:p>
      <w:pPr>
        <w:pStyle w:val="Heading2"/>
        <w:spacing w:after="100" w:before="300"/>
      </w:pPr>
      <w:r>
        <w:t xml:space="preserve">CLIENT-SIDE FUNCTIONS</w:t>
      </w:r>
    </w:p>
    <w:p>
      <w:pPr>
        <w:spacing w:after="200"/>
      </w:pPr>
      <w:r>
        <w:t xml:space="preserve">Functions provide client-side logic for validation, interpolation, and operations:</w:t>
      </w:r>
    </w:p>
    <w:p>
      <w:pPr>
        <w:pStyle w:val="Heading3"/>
        <w:spacing w:after="100" w:before="100"/>
      </w:pPr>
      <w:r>
        <w:t xml:space="preserve">Validation Functions</w:t>
      </w:r>
    </w:p>
    <w:p>
      <w:pPr>
        <w:spacing w:after="50" w:before="50"/>
        <w:ind w:left="400"/>
      </w:pPr>
      <w:r>
        <w:t xml:space="preserve">required — Checks that the value is not null, undefined, or empty</w:t>
      </w:r>
    </w:p>
    <w:p>
      <w:pPr>
        <w:spacing w:after="50" w:before="50"/>
        <w:ind w:left="400"/>
      </w:pPr>
      <w:r>
        <w:t xml:space="preserve">regex — Checks that the value matches a regular expression string</w:t>
      </w:r>
    </w:p>
    <w:p>
      <w:pPr>
        <w:spacing w:after="50" w:before="50"/>
        <w:ind w:left="400"/>
      </w:pPr>
      <w:r>
        <w:t xml:space="preserve">email — Checks that the value is a valid email address</w:t>
      </w:r>
    </w:p>
    <w:p>
      <w:pPr>
        <w:spacing w:after="50" w:before="50"/>
        <w:ind w:left="400"/>
      </w:pPr>
      <w:r>
        <w:t xml:space="preserve">length — Checks string length constraints</w:t>
      </w:r>
    </w:p>
    <w:p>
      <w:pPr>
        <w:spacing w:after="200" w:before="50"/>
        <w:ind w:left="400"/>
      </w:pPr>
      <w:r>
        <w:t xml:space="preserve">numeric — Checks numeric range constraints</w:t>
      </w:r>
    </w:p>
    <w:p>
      <w:pPr>
        <w:pStyle w:val="Heading3"/>
        <w:spacing w:after="100" w:before="100"/>
      </w:pPr>
      <w:r>
        <w:t xml:space="preserve">Formatting Functions</w:t>
      </w:r>
    </w:p>
    <w:p>
      <w:pPr>
        <w:spacing w:after="50" w:before="50"/>
        <w:ind w:left="400"/>
      </w:pPr>
      <w:r>
        <w:t xml:space="preserve">formatString — String interpolation of data model values and function results</w:t>
      </w:r>
    </w:p>
    <w:p>
      <w:pPr>
        <w:spacing w:after="50" w:before="50"/>
        <w:ind w:left="400"/>
      </w:pPr>
      <w:r>
        <w:t xml:space="preserve">formatNumber — Formats a number with grouping and precision</w:t>
      </w:r>
    </w:p>
    <w:p>
      <w:pPr>
        <w:spacing w:after="50" w:before="50"/>
        <w:ind w:left="400"/>
      </w:pPr>
      <w:r>
        <w:t xml:space="preserve">formatCurrency — Formats a number as a currency string</w:t>
      </w:r>
    </w:p>
    <w:p>
      <w:pPr>
        <w:spacing w:after="50" w:before="50"/>
        <w:ind w:left="400"/>
      </w:pPr>
      <w:r>
        <w:t xml:space="preserve">formatDate — Formats a date/time using a pattern</w:t>
      </w:r>
    </w:p>
    <w:p>
      <w:pPr>
        <w:spacing w:after="200" w:before="50"/>
        <w:ind w:left="400"/>
      </w:pPr>
      <w:r>
        <w:t xml:space="preserve">pluralize — Selects a localized string based on a numeric count</w:t>
      </w:r>
    </w:p>
    <w:p>
      <w:pPr>
        <w:pStyle w:val="Heading3"/>
        <w:spacing w:after="100" w:before="100"/>
      </w:pPr>
      <w:r>
        <w:t xml:space="preserve">Logic Functions</w:t>
      </w:r>
    </w:p>
    <w:p>
      <w:pPr>
        <w:spacing w:after="50" w:before="50"/>
        <w:ind w:left="400"/>
      </w:pPr>
      <w:r>
        <w:t xml:space="preserve">and — Logical AND operation on a list of boolean values</w:t>
      </w:r>
    </w:p>
    <w:p>
      <w:pPr>
        <w:spacing w:after="50" w:before="50"/>
        <w:ind w:left="400"/>
      </w:pPr>
      <w:r>
        <w:t xml:space="preserve">or — Logical OR operation on a list of boolean values</w:t>
      </w:r>
    </w:p>
    <w:p>
      <w:pPr>
        <w:spacing w:after="50" w:before="50"/>
        <w:ind w:left="400"/>
      </w:pPr>
      <w:r>
        <w:t xml:space="preserve">not — Logical NOT operation on a boolean value</w:t>
      </w:r>
    </w:p>
    <w:p>
      <w:pPr>
        <w:spacing w:after="300" w:before="50"/>
        <w:ind w:left="400"/>
      </w:pPr>
      <w:r>
        <w:t xml:space="preserve">openUrl — Opens a URL in a browser with XSS protection</w:t>
      </w:r>
    </w:p>
    <w:r>
      <w:br w:type="page"/>
    </w:r>
    <w:p>
      <w:pPr>
        <w:pStyle w:val="Heading2"/>
        <w:spacing w:after="100" w:before="200"/>
      </w:pPr>
      <w:r>
        <w:t xml:space="preserve">DATA MODEL REPRESENTATION</w:t>
      </w:r>
    </w:p>
    <w:p>
      <w:pPr>
        <w:spacing w:after="200"/>
      </w:pPr>
      <w:r>
        <w:t xml:space="preserve">A2UI relies on a strictly defined relationship between the UI structure (Components) and the state (Data Model), defining the mechanics of path resolution and variable scope during iteration.</w:t>
      </w:r>
    </w:p>
    <w:p>
      <w:pPr>
        <w:pStyle w:val="Heading3"/>
        <w:spacing w:after="100" w:before="100"/>
      </w:pPr>
      <w:r>
        <w:t xml:space="preserve">Path Resolution &amp; Scope</w:t>
      </w:r>
    </w:p>
    <w:p>
      <w:pPr>
        <w:spacing w:after="200"/>
      </w:pPr>
      <w:r>
        <w:t xml:space="preserve">Data bindings in A2UI are defined using JSON Pointers (RFC 6901). Paths starting with a forward slash (/) are Absolute Paths and resolve from the root of the Data Model. Relative paths are used inside template components when iterating over arrays.</w:t>
      </w:r>
    </w:p>
    <w:p>
      <w:pPr>
        <w:pStyle w:val="Heading3"/>
        <w:spacing w:after="100" w:before="100"/>
      </w:pPr>
      <w:r>
        <w:t xml:space="preserve">Two-Way Binding &amp; Input Components</w:t>
      </w:r>
    </w:p>
    <w:p>
      <w:pPr>
        <w:spacing w:after="300"/>
      </w:pPr>
      <w:r>
        <w:t xml:space="preserve">Interactive components (TextField, CheckBox, Slider, ChoicePicker, DateTimeInput) establish Two-Way Binding with the Data Model. When the user interacts with the component, the local data model is immediately updated. When an action is dispatched, the context property can reference the modified data paths to send the user's input back to the server.</w:t>
      </w:r>
    </w:p>
    <w:p>
      <w:pPr>
        <w:pStyle w:val="Heading2"/>
        <w:spacing w:after="100" w:before="200"/>
      </w:pPr>
      <w:r>
        <w:t xml:space="preserve">COMPONENT MODEL</w:t>
      </w:r>
    </w:p>
    <w:p>
      <w:pPr>
        <w:spacing w:after="200"/>
      </w:pPr>
      <w:r>
        <w:t xml:space="preserve">A2UI's component model is designed for flexibility, separating the protocol's structure from the set of available UI components.</w:t>
      </w:r>
    </w:p>
    <w:p>
      <w:pPr>
        <w:pStyle w:val="Heading3"/>
        <w:spacing w:after="100" w:before="100"/>
      </w:pPr>
      <w:r>
        <w:t xml:space="preserve">The Component Object</w:t>
      </w:r>
    </w:p>
    <w:p>
      <w:pPr>
        <w:spacing w:after="100"/>
      </w:pPr>
      <w:r>
        <w:t xml:space="preserve">Each object in the components array of an updateComponents message defines a single UI component. It has the following structure:</w:t>
      </w:r>
    </w:p>
    <w:p>
      <w:pPr>
        <w:spacing w:after="50" w:before="50"/>
        <w:ind w:left="400"/>
      </w:pPr>
      <w:r>
        <w:t xml:space="preserve">id (ComponentId, required) — A unique string that identifies this specific component instance.</w:t>
      </w:r>
    </w:p>
    <w:p>
      <w:pPr>
        <w:spacing w:after="50" w:before="50"/>
        <w:ind w:left="400"/>
      </w:pPr>
      <w:r>
        <w:t xml:space="preserve">component (string, required) — Specifies the component's type (e.g., "Text").</w:t>
      </w:r>
    </w:p>
    <w:p>
      <w:pPr>
        <w:spacing w:after="300" w:before="50"/>
        <w:ind w:left="400"/>
      </w:pPr>
      <w:r>
        <w:t xml:space="preserve">Component Properties — Other properties relevant to the specific component type are included directly in the component object.</w:t>
      </w:r>
    </w:p>
    <w:p>
      <w:pPr>
        <w:pStyle w:val="Heading3"/>
        <w:spacing w:after="100" w:before="100"/>
      </w:pPr>
      <w:r>
        <w:t xml:space="preserve">UI Composition: The Adjacency List Model</w:t>
      </w:r>
    </w:p>
    <w:p>
      <w:pPr>
        <w:spacing w:after="100"/>
      </w:pPr>
      <w:r>
        <w:t xml:space="preserve">The A2UI protocol defines the UI as a flat list of components. The tree structure is built implicitly using ID references (adjacency list model). Container components have properties that reference the id of their child component(s). The client recreates the tree structure at render time.</w:t>
      </w:r>
    </w:p>
    <w:p>
      <w:pPr>
        <w:spacing w:after="300"/>
      </w:pPr>
      <w:r>
        <w:t xml:space="preserve">Key requirement: There must be exactly one component with the ID root in the component tree, acting as the root of the component tree.</w:t>
      </w:r>
    </w:p>
    <w:r>
      <w:br w:type="page"/>
    </w:r>
    <w:p>
      <w:pPr>
        <w:pStyle w:val="Heading1"/>
        <w:spacing w:after="200" w:before="200"/>
      </w:pPr>
      <w:r>
        <w:t xml:space="preserve">§2 — A2UI Basic Catalog Implementation Guide v0.9.1</w:t>
      </w:r>
    </w:p>
    <w:p>
      <w:pPr>
        <w:spacing w:after="300"/>
      </w:pPr>
      <w:r>
        <w:t xml:space="preserve">This guide is designed for renderer and client developers implementing the A2UI Basic Catalog (v0.9). It details how to visually present and functionally implement each component and client-side function defined in the catalog.</w:t>
      </w:r>
    </w:p>
    <w:p>
      <w:pPr>
        <w:pStyle w:val="Heading2"/>
        <w:spacing w:after="100" w:before="200"/>
      </w:pPr>
      <w:r>
        <w:t xml:space="preserve">COMPONENTS</w:t>
      </w:r>
    </w:p>
    <w:p>
      <w:pPr>
        <w:pStyle w:val="Heading3"/>
        <w:spacing w:after="100" w:before="100"/>
      </w:pPr>
      <w:r>
        <w:t xml:space="preserve">Text Component</w:t>
      </w:r>
    </w:p>
    <w:p>
      <w:pPr>
        <w:spacing w:after="100"/>
      </w:pPr>
      <w:r>
        <w:t xml:space="preserve">Displays text content. Supports simple Markdown rendering.</w:t>
      </w:r>
    </w:p>
    <w:p>
      <w:pPr>
        <w:spacing w:after="50" w:before="50"/>
      </w:pPr>
      <w:r>
        <w:t xml:space="preserve">Variant Mapping:</w:t>
      </w:r>
    </w:p>
    <w:p>
      <w:pPr>
        <w:spacing w:after="30" w:before="30"/>
        <w:ind w:left="400"/>
      </w:pPr>
      <w:r>
        <w:t xml:space="preserve">h1 through h5 — Apply heading styling with relative font sizes</w:t>
      </w:r>
    </w:p>
    <w:p>
      <w:pPr>
        <w:spacing w:after="30" w:before="30"/>
        <w:ind w:left="400"/>
      </w:pPr>
      <w:r>
        <w:t xml:space="preserve">caption — Render as smaller, italicized or muted text</w:t>
      </w:r>
    </w:p>
    <w:p>
      <w:pPr>
        <w:spacing w:after="200" w:before="30"/>
        <w:ind w:left="400"/>
      </w:pPr>
      <w:r>
        <w:t xml:space="preserve">body — Standard body text (default)</w:t>
      </w:r>
    </w:p>
    <w:p>
      <w:pPr>
        <w:pStyle w:val="Heading3"/>
        <w:spacing w:after="100" w:before="100"/>
      </w:pPr>
      <w:r>
        <w:t xml:space="preserve">Image Component</w:t>
      </w:r>
    </w:p>
    <w:p>
      <w:pPr>
        <w:spacing w:after="100"/>
      </w:pPr>
      <w:r>
        <w:t xml:space="preserve">Displays an image from a URL. Defaults to flexible width to fill container.</w:t>
      </w:r>
    </w:p>
    <w:p>
      <w:pPr>
        <w:spacing w:after="50" w:before="50"/>
      </w:pPr>
      <w:r>
        <w:t xml:space="preserve">Variant Mapping:</w:t>
      </w:r>
    </w:p>
    <w:p>
      <w:pPr>
        <w:spacing w:after="30" w:before="30"/>
        <w:ind w:left="400"/>
      </w:pPr>
      <w:r>
        <w:t xml:space="preserve">icon — Very small square (e.g., 24×24dp)</w:t>
      </w:r>
    </w:p>
    <w:p>
      <w:pPr>
        <w:spacing w:after="30" w:before="30"/>
        <w:ind w:left="400"/>
      </w:pPr>
      <w:r>
        <w:t xml:space="preserve">avatar — Small and rounded/circular (e.g., 40×40dp)</w:t>
      </w:r>
    </w:p>
    <w:p>
      <w:pPr>
        <w:spacing w:after="200" w:before="30"/>
        <w:ind w:left="400"/>
      </w:pPr>
      <w:r>
        <w:t xml:space="preserve">largeFeature — Large prominent image (e.g., 100% width, max height 400dp)</w:t>
      </w:r>
    </w:p>
    <w:p>
      <w:pPr>
        <w:pStyle w:val="Heading3"/>
        <w:spacing w:after="100" w:before="100"/>
      </w:pPr>
      <w:r>
        <w:t xml:space="preserve">Layout Containers: Row &amp; Column</w:t>
      </w:r>
    </w:p>
    <w:p>
      <w:pPr>
        <w:spacing w:after="50" w:before="50"/>
        <w:ind w:left="200"/>
      </w:pPr>
      <w:r>
        <w:t xml:space="preserve">Row — Horizontal layout container using flexbox row semantics.</w:t>
      </w:r>
    </w:p>
    <w:p>
      <w:pPr>
        <w:spacing w:after="100" w:before="50"/>
        <w:ind w:left="200"/>
      </w:pPr>
      <w:r>
        <w:t xml:space="preserve">Column — Vertical layout container using flexbox column semantics.</w:t>
      </w:r>
    </w:p>
    <w:p>
      <w:pPr>
        <w:spacing w:after="200"/>
      </w:pPr>
      <w:r>
        <w:t xml:space="preserve">Both support justify and align properties that map to main-axis and cross-axis alignment respectively.</w:t>
      </w:r>
    </w:p>
    <w:p>
      <w:pPr>
        <w:pStyle w:val="Heading3"/>
        <w:spacing w:after="100" w:before="100"/>
      </w:pPr>
      <w:r>
        <w:t xml:space="preserve">Interactive Components</w:t>
      </w:r>
    </w:p>
    <w:p>
      <w:pPr>
        <w:spacing w:after="30" w:before="50"/>
        <w:ind w:left="400"/>
      </w:pPr>
      <w:r>
        <w:t xml:space="preserve">TextField — Native text input control with two-way binding.</w:t>
      </w:r>
    </w:p>
    <w:p>
      <w:pPr>
        <w:spacing w:after="50" w:before="0"/>
        <w:ind w:left="600"/>
      </w:pPr>
      <w:r>
        <w:t xml:space="preserve">Variants: shortText (single-line), longText (multi-line), number, obscured (password)</w:t>
      </w:r>
    </w:p>
    <w:p>
      <w:pPr>
        <w:spacing w:after="50" w:before="50"/>
        <w:ind w:left="400"/>
      </w:pPr>
      <w:r>
        <w:t xml:space="preserve">CheckBox — Native checkbox or toggle switch with label and boolean value.</w:t>
      </w:r>
    </w:p>
    <w:p>
      <w:pPr>
        <w:spacing w:after="50" w:before="50"/>
        <w:ind w:left="400"/>
      </w:pPr>
      <w:r>
        <w:t xml:space="preserve">ChoicePicker — Dropdown or chip-based selector for one or more options.</w:t>
      </w:r>
    </w:p>
    <w:p>
      <w:pPr>
        <w:spacing w:after="50" w:before="50"/>
        <w:ind w:left="400"/>
      </w:pPr>
      <w:r>
        <w:t xml:space="preserve">Slider — Native slider component with min/max and numeric value binding.</w:t>
      </w:r>
    </w:p>
    <w:p>
      <w:pPr>
        <w:spacing w:after="300" w:before="50"/>
        <w:ind w:left="400"/>
      </w:pPr>
      <w:r>
        <w:t xml:space="preserve">DateTimeInput — Native date/time picker with ISO 8601 conversion.</w:t>
      </w:r>
    </w:p>
    <w:p>
      <w:pPr>
        <w:pStyle w:val="Heading2"/>
        <w:spacing w:after="100" w:before="200"/>
      </w:pPr>
      <w:r>
        <w:t xml:space="preserve">LAYOUT SPACING: MARGINS AND PADDING</w:t>
      </w:r>
    </w:p>
    <w:p>
      <w:pPr>
        <w:spacing w:after="200"/>
      </w:pPr>
      <w:r>
        <w:t xml:space="preserve">To prevent spacing multiplication and maintain clean, consistent default spacing, implementers should follow a Leaf-Margin Strategy:</w:t>
      </w:r>
    </w:p>
    <w:p>
      <w:pPr>
        <w:spacing w:after="50" w:before="50"/>
        <w:ind w:left="400"/>
      </w:pPr>
      <w:r>
        <w:t xml:space="preserve">Invisible Containers (Row, Column, List) have ZERO internal padding and external margins, acting purely as structural boundaries.</w:t>
      </w:r>
    </w:p>
    <w:p>
      <w:pPr>
        <w:spacing w:after="50" w:before="50"/>
        <w:ind w:left="400"/>
      </w:pPr>
      <w:r>
        <w:t xml:space="preserve">Leaf Components (Text, Image, Icon) carry uniform external margins (e.g., 8dp on all sides).</w:t>
      </w:r>
    </w:p>
    <w:p>
      <w:pPr>
        <w:spacing w:after="300" w:before="50"/>
        <w:ind w:left="400"/>
      </w:pPr>
      <w:r>
        <w:t xml:space="preserve">Visually Outlined Containers (Card, Button, TextField) also carry default external margins.</w:t>
      </w:r>
    </w:p>
    <w:p>
      <w:pPr>
        <w:pStyle w:val="Heading2"/>
        <w:spacing w:after="100" w:before="200"/>
      </w:pPr>
      <w:r>
        <w:t xml:space="preserve">COLOR, CONTRAST, AND NESTING</w:t>
      </w:r>
    </w:p>
    <w:p>
      <w:pPr>
        <w:spacing w:after="200"/>
      </w:pPr>
      <w:r>
        <w:t xml:space="preserve">To keep the A2UI rendering layer simple and performant, rely entirely on the native context and theme inheritance mechanisms provided by your target UI framework.</w:t>
      </w:r>
    </w:p>
    <w:p>
      <w:pPr>
        <w:pStyle w:val="Heading3"/>
        <w:spacing w:after="100" w:before="100"/>
      </w:pPr>
      <w:r>
        <w:t xml:space="preserve">Text and Icon Contrast</w:t>
      </w:r>
    </w:p>
    <w:p>
      <w:pPr>
        <w:spacing w:after="200"/>
      </w:pPr>
      <w:r>
        <w:t xml:space="preserve">Leaf components like Text and Icon should never hardcode their colors unless explicitly instructed by a property. They must always inherit from their environment. Use framework-specific mechanisms like CSS color inheritance, Compose CompositionLocalProvider, or SwiftUI environment modifiers.</w:t>
      </w:r>
    </w:p>
    <w:p>
      <w:pPr>
        <w:pStyle w:val="Heading3"/>
        <w:spacing w:after="100" w:before="100"/>
      </w:pPr>
      <w:r>
        <w:t xml:space="preserve">Nesting Containers (Cards)</w:t>
      </w:r>
    </w:p>
    <w:p>
      <w:pPr>
        <w:spacing w:after="300"/>
      </w:pPr>
      <w:r>
        <w:t xml:space="preserve">Give Card components a transparent background and a visible outline/border. By using borders instead of opaque surface colors, nested cards will simply draw an inner boundary within the parent card, guaranteeing clear visual hierarchy regardless of nesting depth.</w:t>
      </w:r>
    </w:p>
    <w:r>
      <w:br w:type="page"/>
    </w:r>
    <w:p>
      <w:pPr>
        <w:pStyle w:val="Heading1"/>
        <w:spacing w:after="200" w:before="200"/>
      </w:pPr>
      <w:r>
        <w:t xml:space="preserve">§3 — A2UI Extension for A2A Protocol v0.9.1</w:t>
      </w:r>
    </w:p>
    <w:p>
      <w:pPr>
        <w:spacing w:after="300"/>
      </w:pPr>
      <w:r>
        <w:t xml:space="preserve">Extension for Agent-to-Agent Communication</w:t>
      </w:r>
    </w:p>
    <w:p>
      <w:pPr>
        <w:pStyle w:val="Heading2"/>
        <w:spacing w:after="100" w:before="200"/>
      </w:pPr>
      <w:r>
        <w:t xml:space="preserve">OVERVIEW</w:t>
      </w:r>
    </w:p>
    <w:p>
      <w:pPr>
        <w:spacing w:after="100"/>
      </w:pPr>
      <w:r>
        <w:t xml:space="preserve">This document is intended for developers implementing the A2UI A2A extension. The extension adds A2UI v0.9.1 support to A2A, a format for agents to send streaming, interactive user interfaces to clients.</w:t>
      </w:r>
    </w:p>
    <w:p>
      <w:pPr>
        <w:spacing w:after="300"/>
      </w:pPr>
      <w:r>
        <w:t xml:space="preserve">Note that A2UI extension activation is optional as clients and agents can negotiate A2UI support using message.metadata["a2uiClientCapabilities"] which is attached to every A2A message from the client.</w:t>
      </w:r>
    </w:p>
    <w:p>
      <w:pPr>
        <w:pStyle w:val="Heading2"/>
        <w:spacing w:after="100" w:before="200"/>
      </w:pPr>
      <w:r>
        <w:t xml:space="preserve">EXTENSION URI</w:t>
      </w:r>
    </w:p>
    <w:p>
      <w:pPr>
        <w:spacing w:after="100"/>
        <w:ind w:left="400"/>
      </w:pPr>
      <w:r>
        <w:t xml:space="preserve">https://a2ui.org/a2a-extension/a2ui/v0.9.1</w:t>
      </w:r>
    </w:p>
    <w:p>
      <w:pPr>
        <w:spacing w:after="300"/>
      </w:pPr>
      <w:r>
        <w:t xml:space="preserve">This URI is the canonical way to communicate protocol versioning between clients and agents. The extension URI explicitly encodes the version.</w:t>
      </w:r>
    </w:p>
    <w:p>
      <w:pPr>
        <w:pStyle w:val="Heading2"/>
        <w:spacing w:after="100" w:before="200"/>
      </w:pPr>
      <w:r>
        <w:t xml:space="preserve">AGENT CARD</w:t>
      </w:r>
    </w:p>
    <w:p>
      <w:pPr>
        <w:spacing w:after="200"/>
      </w:pPr>
      <w:r>
        <w:t xml:space="preserve">Agents are encouraged to advertise their A2UI capabilities in their AgentCard within the AgentCapabilities.extensions list. The params object defines the agent's specific UI support and corresponds directly to the Server Capabilities Schema.</w:t>
      </w:r>
    </w:p>
    <w:p>
      <w:pPr>
        <w:spacing w:after="100"/>
      </w:pPr>
      <w:r>
        <w:t xml:space="preserve">The params object includes:</w:t>
      </w:r>
    </w:p>
    <w:p>
      <w:pPr>
        <w:spacing w:after="50" w:before="50"/>
        <w:ind w:left="400"/>
      </w:pPr>
      <w:r>
        <w:t xml:space="preserve">supportedCatalogIds — Array of catalog IDs the agent can generate</w:t>
      </w:r>
    </w:p>
    <w:p>
      <w:pPr>
        <w:spacing w:after="300" w:before="50"/>
        <w:ind w:left="400"/>
      </w:pPr>
      <w:r>
        <w:t xml:space="preserve">acceptsInlineCatalogs — Boolean indicating if the agent accepts inline catalogs from the client</w:t>
      </w:r>
    </w:p>
    <w:p>
      <w:pPr>
        <w:pStyle w:val="Heading2"/>
        <w:spacing w:after="100" w:before="200"/>
      </w:pPr>
      <w:r>
        <w:t xml:space="preserve">EXTENSION ACTIVATION</w:t>
      </w:r>
    </w:p>
    <w:p>
      <w:pPr>
        <w:spacing w:after="100"/>
      </w:pPr>
      <w:r>
        <w:t xml:space="preserve">Activating the A2UI extension is optional. Clients and agents can negotiate A2UI support using:</w:t>
      </w:r>
    </w:p>
    <w:p>
      <w:pPr>
        <w:spacing w:after="50" w:before="50"/>
        <w:ind w:left="400"/>
      </w:pPr>
      <w:r>
        <w:t xml:space="preserve">message.metadata["a2uiClientCapabilities"] — Sent by the client to advertise supported catalogs</w:t>
      </w:r>
    </w:p>
    <w:p>
      <w:pPr>
        <w:spacing w:after="300" w:before="50"/>
        <w:ind w:left="400"/>
      </w:pPr>
      <w:r>
        <w:t xml:space="preserve">DataPart.data.metadata["mimeType"] = "application/a2ui+json" — Used by the agent to identify A2UI payloads</w:t>
      </w:r>
    </w:p>
    <w:p>
      <w:pPr>
        <w:pStyle w:val="Heading3"/>
        <w:spacing w:after="100" w:before="100"/>
      </w:pPr>
      <w:r>
        <w:t xml:space="preserve">HTTP Transport Activation</w:t>
      </w:r>
    </w:p>
    <w:p>
      <w:pPr>
        <w:spacing w:after="100"/>
      </w:pPr>
      <w:r>
        <w:t xml:space="preserve">Include the extension URI in the X-A2A-Extensions HTTP header:</w:t>
      </w:r>
    </w:p>
    <w:p>
      <w:pPr>
        <w:spacing w:after="200" w:before="50"/>
        <w:ind w:left="400"/>
      </w:pPr>
      <w:r>
        <w:t xml:space="preserve">X-A2A-Extensions: https://a2ui.org/a2a-extension/a2ui/v0.9.1</w:t>
      </w:r>
    </w:p>
    <w:p>
      <w:pPr>
        <w:pStyle w:val="Heading3"/>
        <w:spacing w:after="100" w:before="100"/>
      </w:pPr>
      <w:r>
        <w:t xml:space="preserve">gRPC Transport Activation</w:t>
      </w:r>
    </w:p>
    <w:p>
      <w:pPr>
        <w:spacing w:after="300"/>
      </w:pPr>
      <w:r>
        <w:t xml:space="preserve">Add the extension URI to sendMessageParams.metadata["X-A2A-Extensions"].</w:t>
      </w:r>
    </w:p>
    <w:p>
      <w:pPr>
        <w:pStyle w:val="Heading2"/>
        <w:spacing w:after="100" w:before="200"/>
      </w:pPr>
      <w:r>
        <w:t xml:space="preserve">CLIENT TO SERVER METADATA</w:t>
      </w:r>
    </w:p>
    <w:p>
      <w:pPr>
        <w:spacing w:after="200"/>
      </w:pPr>
      <w:r>
        <w:t xml:space="preserve">Clients attach a2uiClientCapabilities and a2uiClientDataModel to A2A messages to communicate their state and supported catalogs.</w:t>
      </w:r>
    </w:p>
    <w:p>
      <w:pPr>
        <w:pStyle w:val="Heading3"/>
        <w:spacing w:after="100" w:before="100"/>
      </w:pPr>
      <w:r>
        <w:t xml:space="preserve">a2uiClientCapabilities</w:t>
      </w:r>
    </w:p>
    <w:p>
      <w:pPr>
        <w:spacing w:after="200"/>
      </w:pPr>
      <w:r>
        <w:t xml:space="preserve">The client sends sendMessageRequest.message["a2uiClientCapabilities"] to advertise which catalogs the renderer supports. This includes the protocol version and supported catalog IDs.</w:t>
      </w:r>
    </w:p>
    <w:p>
      <w:pPr>
        <w:pStyle w:val="Heading3"/>
        <w:spacing w:after="100" w:before="100"/>
      </w:pPr>
      <w:r>
        <w:t xml:space="preserve">a2uiClientDataModel</w:t>
      </w:r>
    </w:p>
    <w:p>
      <w:pPr>
        <w:spacing w:after="300"/>
      </w:pPr>
      <w:r>
        <w:t xml:space="preserve">When a surface enables Data Model Sync, the client sends sendMessageRequest.message["a2uiClientDataModel"] on every message. This model provides the agent with the latest UI state and is critical for form submission and interactive workflows.</w:t>
      </w:r>
    </w:p>
    <w:p>
      <w:pPr>
        <w:pStyle w:val="Heading2"/>
        <w:spacing w:after="100" w:before="200"/>
      </w:pPr>
      <w:r>
        <w:t xml:space="preserve">DATA ENCODING</w:t>
      </w:r>
    </w:p>
    <w:p>
      <w:pPr>
        <w:spacing w:after="100"/>
      </w:pPr>
      <w:r>
        <w:t xml:space="preserve">Agents and clients encode A2UI messages as an A2A DataPart. To identify a DataPart as containing A2UI data, it must have the following metadata:</w:t>
      </w:r>
    </w:p>
    <w:p>
      <w:pPr>
        <w:spacing w:after="200" w:before="50"/>
        <w:ind w:left="400"/>
      </w:pPr>
      <w:r>
        <w:t xml:space="preserve">DataPart.data.metadata["mimeType"] = "application/a2ui+json"</w:t>
      </w:r>
    </w:p>
    <w:p>
      <w:pPr>
        <w:spacing w:after="300"/>
      </w:pPr>
      <w:r>
        <w:t xml:space="preserve">The data field of the DataPart contains a list of A2UI JSON messages (createSurface, updateComponents, updateDataModel, deleteSurface, action). It MUST be an array of messages.</w:t>
      </w:r>
    </w:p>
    <w:p>
      <w:pPr>
        <w:pStyle w:val="Heading2"/>
        <w:spacing w:after="100" w:before="200"/>
      </w:pPr>
      <w:r>
        <w:t xml:space="preserve">PROCESSING RULES</w:t>
      </w:r>
    </w:p>
    <w:p>
      <w:pPr>
        <w:spacing w:after="100"/>
      </w:pPr>
      <w:r>
        <w:t xml:space="preserve">The data field contains a list of messages. This list is NOT a transactional unit. Receivers MUST process messages in the list sequentially.</w:t>
      </w:r>
    </w:p>
    <w:p>
      <w:pPr>
        <w:spacing w:after="50" w:before="50"/>
        <w:ind w:left="400"/>
      </w:pPr>
      <w:r>
        <w:t xml:space="preserve">If a single message fails to validate or apply, the receiver SHOULD report/log the error and MUST continue processing remaining messages.</w:t>
      </w:r>
    </w:p>
    <w:p>
      <w:pPr>
        <w:spacing w:after="300" w:before="50"/>
        <w:ind w:left="400"/>
      </w:pPr>
      <w:r>
        <w:t xml:space="preserve">For better user experience, renderers SHOULD NOT repaint the UI until all messages in the list have been processed to prevent intermediate states from flickering.</w:t>
      </w:r>
    </w:p>
    <w:p>
      <w:pPr>
        <w:pStyle w:val="Heading2"/>
        <w:spacing w:after="100" w:before="200"/>
      </w:pPr>
      <w:r>
        <w:t xml:space="preserve">CONCLUSION</w:t>
      </w:r>
    </w:p>
    <w:p>
      <w:pPr>
        <w:spacing w:after="300"/>
      </w:pPr>
      <w:r>
        <w:t xml:space="preserve">A2UI v0.9.1 provides a comprehensive, transport-agnostic protocol for dynamically rendering interactive user interfaces from streaming JSON messages. By combining a flexible component model, powerful data binding system, and client-side logic capabilities, A2UI enables sophisticated, responsive UIs that can be generated by AI agents and rendered by diverse clients.</w:t>
      </w:r>
    </w:p>
    <w:p>
      <w:pPr>
        <w:spacing w:after="0" w:before="300"/>
        <w:jc w:val="center"/>
      </w:pPr>
      <w:r>
        <w:t xml:space="preserve">For the latest specifications and updates, visit https://a2ui.org/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2026-07-27T16:01:50.446Z</dcterms:created>
  <dcterms:modified xsi:type="dcterms:W3CDTF">2026-07-27T16:01:50.474Z</dcterms:modified>
</cp:coreProperties>
</file>

<file path=docProps/custom.xml><?xml version="1.0" encoding="utf-8"?>
<Properties xmlns="http://schemas.openxmlformats.org/officeDocument/2006/custom-properties" xmlns:vt="http://schemas.openxmlformats.org/officeDocument/2006/docPropsVTypes"/>
</file>