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876A4" w14:textId="5D3355C4" w:rsidR="00387A43" w:rsidRDefault="00CC35BB">
      <w:r>
        <w:t>Regulation of investigatory powers act (2000)</w:t>
      </w:r>
    </w:p>
    <w:p w14:paraId="3B688F7D" w14:textId="1EB9D9D0" w:rsidR="00CC35BB" w:rsidRDefault="00CC35BB">
      <w:r>
        <w:t>Knowledge – Surveilance on citizens to prevent terrorism and other serious crimes.</w:t>
      </w:r>
    </w:p>
    <w:p w14:paraId="212744A7" w14:textId="3676F449" w:rsidR="00CC35BB" w:rsidRDefault="00CC35BB">
      <w:r>
        <w:t>Demands government bodies be given the key to encrypted data.</w:t>
      </w:r>
    </w:p>
    <w:p w14:paraId="1C307200" w14:textId="22F40F65" w:rsidR="00CC35BB" w:rsidRDefault="00CC35BB">
      <w:r>
        <w:t>Stops the needs for warrants.</w:t>
      </w:r>
    </w:p>
    <w:p w14:paraId="397DC934" w14:textId="1658E06B" w:rsidR="00CC35BB" w:rsidRDefault="00CC35BB">
      <w:r>
        <w:t xml:space="preserve">Given to government bodies </w:t>
      </w:r>
    </w:p>
    <w:p w14:paraId="76188FDD" w14:textId="275405A7" w:rsidR="00CC35BB" w:rsidRDefault="00CC35BB">
      <w:r>
        <w:t xml:space="preserve">Stops terrorism (Need more) </w:t>
      </w:r>
    </w:p>
    <w:p w14:paraId="7D9E2B8C" w14:textId="2BC9AC97" w:rsidR="00CC35BB" w:rsidRDefault="00CC35BB">
      <w:r>
        <w:t>Privacy breaching</w:t>
      </w:r>
    </w:p>
    <w:p w14:paraId="3590162A" w14:textId="77777777" w:rsidR="00CC35BB" w:rsidRDefault="00CC35BB"/>
    <w:sectPr w:rsidR="00CC35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C0B"/>
    <w:rsid w:val="0024463C"/>
    <w:rsid w:val="00387A43"/>
    <w:rsid w:val="00675C0B"/>
    <w:rsid w:val="00A87965"/>
    <w:rsid w:val="00CC35BB"/>
    <w:rsid w:val="00DE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9B7AD"/>
  <w15:chartTrackingRefBased/>
  <w15:docId w15:val="{F77F41B5-7C86-4FF3-80B9-B1C2FEDD2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1</cp:revision>
  <dcterms:created xsi:type="dcterms:W3CDTF">2026-05-22T10:37:00Z</dcterms:created>
  <dcterms:modified xsi:type="dcterms:W3CDTF">2026-06-02T14:16:00Z</dcterms:modified>
</cp:coreProperties>
</file>