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D11-B — Casos Prácticos — Certus PLD</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70"/>
              <w:left w:type="dxa" w:w="100"/>
              <w:bottom w:type="dxa" w:w="70"/>
              <w:right w:type="dxa" w:w="100"/>
            </w:tcMar>
          </w:tcPr>
          <w:p>
            <w:r>
              <w:rPr>
                <w:b w:val="false"/>
                <w:bCs w:val="false"/>
                <w:sz w:val="18"/>
                <w:szCs w:val="18"/>
              </w:rPr>
              <w:t xml:space="preserve">Empresa:</w:t>
            </w:r>
          </w:p>
        </w:tc>
        <w:tc>
          <w:tcPr>
            <w:tcW w:type="dxa" w:w="6800"/>
            <w:tcMar>
              <w:top w:type="dxa" w:w="70"/>
              <w:left w:type="dxa" w:w="100"/>
              <w:bottom w:type="dxa" w:w="70"/>
              <w:right w:type="dxa" w:w="100"/>
            </w:tcMar>
          </w:tcPr>
          <w:p>
            <w:r>
              <w:rPr>
                <w:b w:val="false"/>
                <w:bCs w:val="false"/>
                <w:sz w:val="18"/>
                <w:szCs w:val="18"/>
              </w:rPr>
              <w:t xml:space="preserve">[EMPRESA]</w:t>
            </w:r>
          </w:p>
        </w:tc>
      </w:tr>
      <w:tr>
        <w:tc>
          <w:tcPr>
            <w:tcW w:type="dxa" w:w="2800"/>
            <w:tcMar>
              <w:top w:type="dxa" w:w="70"/>
              <w:left w:type="dxa" w:w="100"/>
              <w:bottom w:type="dxa" w:w="70"/>
              <w:right w:type="dxa" w:w="100"/>
            </w:tcMar>
          </w:tcPr>
          <w:p>
            <w:r>
              <w:rPr>
                <w:b w:val="false"/>
                <w:bCs w:val="false"/>
                <w:sz w:val="18"/>
                <w:szCs w:val="18"/>
              </w:rPr>
              <w:t xml:space="preserve">Fecha:</w:t>
            </w:r>
          </w:p>
        </w:tc>
        <w:tc>
          <w:tcPr>
            <w:tcW w:type="dxa" w:w="6800"/>
            <w:tcMar>
              <w:top w:type="dxa" w:w="70"/>
              <w:left w:type="dxa" w:w="100"/>
              <w:bottom w:type="dxa" w:w="70"/>
              <w:right w:type="dxa" w:w="100"/>
            </w:tcMar>
          </w:tcPr>
          <w:p>
            <w:r>
              <w:rPr>
                <w:b w:val="false"/>
                <w:bCs w:val="false"/>
                <w:sz w:val="18"/>
                <w:szCs w:val="18"/>
              </w:rPr>
              <w:t xml:space="preserve">[Fecha]</w:t>
            </w:r>
          </w:p>
        </w:tc>
      </w:tr>
      <w:tr>
        <w:tc>
          <w:tcPr>
            <w:tcW w:type="dxa" w:w="2800"/>
            <w:tcMar>
              <w:top w:type="dxa" w:w="70"/>
              <w:left w:type="dxa" w:w="100"/>
              <w:bottom w:type="dxa" w:w="70"/>
              <w:right w:type="dxa" w:w="100"/>
            </w:tcMar>
          </w:tcPr>
          <w:p>
            <w:r>
              <w:rPr>
                <w:b w:val="false"/>
                <w:bCs w:val="false"/>
                <w:sz w:val="18"/>
                <w:szCs w:val="18"/>
              </w:rPr>
              <w:t xml:space="preserve">Uso:</w:t>
            </w:r>
          </w:p>
        </w:tc>
        <w:tc>
          <w:tcPr>
            <w:tcW w:type="dxa" w:w="6800"/>
            <w:tcMar>
              <w:top w:type="dxa" w:w="70"/>
              <w:left w:type="dxa" w:w="100"/>
              <w:bottom w:type="dxa" w:w="70"/>
              <w:right w:type="dxa" w:w="100"/>
            </w:tcMar>
          </w:tcPr>
          <w:p>
            <w:r>
              <w:rPr>
                <w:b w:val="false"/>
                <w:bCs w:val="false"/>
                <w:sz w:val="18"/>
                <w:szCs w:val="18"/>
              </w:rPr>
              <w:t xml:space="preserve">Material de capacitación presencial — Programa Certus PLD</w:t>
            </w:r>
          </w:p>
        </w:tc>
      </w:tr>
      <w:tr>
        <w:tc>
          <w:tcPr>
            <w:tcW w:type="dxa" w:w="2800"/>
            <w:tcMar>
              <w:top w:type="dxa" w:w="70"/>
              <w:left w:type="dxa" w:w="100"/>
              <w:bottom w:type="dxa" w:w="70"/>
              <w:right w:type="dxa" w:w="100"/>
            </w:tcMar>
          </w:tcPr>
          <w:p>
            <w:r>
              <w:rPr>
                <w:b w:val="false"/>
                <w:bCs w:val="false"/>
                <w:sz w:val="18"/>
                <w:szCs w:val="18"/>
              </w:rPr>
              <w:t xml:space="preserve">Elaboró:</w:t>
            </w:r>
          </w:p>
        </w:tc>
        <w:tc>
          <w:tcPr>
            <w:tcW w:type="dxa" w:w="6800"/>
            <w:tcMar>
              <w:top w:type="dxa" w:w="70"/>
              <w:left w:type="dxa" w:w="100"/>
              <w:bottom w:type="dxa" w:w="70"/>
              <w:right w:type="dxa" w:w="100"/>
            </w:tcMar>
          </w:tcPr>
          <w:p>
            <w:r>
              <w:rPr>
                <w:b w:val="false"/>
                <w:bCs w:val="false"/>
                <w:sz w:val="18"/>
                <w:szCs w:val="18"/>
              </w:rPr>
              <w:t xml:space="preserve">Espinosa-Salazar Abogados Corporativos │ Certus PLD</w:t>
            </w:r>
          </w:p>
        </w:tc>
      </w:tr>
      <w:tr>
        <w:tc>
          <w:tcPr>
            <w:tcW w:type="dxa" w:w="2800"/>
            <w:tcMar>
              <w:top w:type="dxa" w:w="70"/>
              <w:left w:type="dxa" w:w="100"/>
              <w:bottom w:type="dxa" w:w="70"/>
              <w:right w:type="dxa" w:w="100"/>
            </w:tcMar>
          </w:tcPr>
          <w:p>
            <w:r>
              <w:rPr>
                <w:b w:val="false"/>
                <w:bCs w:val="false"/>
                <w:sz w:val="18"/>
                <w:szCs w:val="18"/>
              </w:rPr>
              <w:t xml:space="preserve">Contacto:</w:t>
            </w:r>
          </w:p>
        </w:tc>
        <w:tc>
          <w:tcPr>
            <w:tcW w:type="dxa" w:w="6800"/>
            <w:tcMar>
              <w:top w:type="dxa" w:w="70"/>
              <w:left w:type="dxa" w:w="100"/>
              <w:bottom w:type="dxa" w:w="70"/>
              <w:right w:type="dxa" w:w="100"/>
            </w:tcMar>
          </w:tcPr>
          <w:p>
            <w:r>
              <w:rPr>
                <w:b w:val="false"/>
                <w:bCs w:val="false"/>
                <w:sz w:val="18"/>
                <w:szCs w:val="18"/>
              </w:rPr>
              <w:t xml:space="preserve">contacto@certusconsultores.com.mx │ 999 163 1363</w:t>
            </w:r>
          </w:p>
        </w:tc>
      </w:tr>
      <w:tr>
        <w:tc>
          <w:tcPr>
            <w:tcW w:type="dxa" w:w="2800"/>
            <w:tcMar>
              <w:top w:type="dxa" w:w="70"/>
              <w:left w:type="dxa" w:w="100"/>
              <w:bottom w:type="dxa" w:w="70"/>
              <w:right w:type="dxa" w:w="100"/>
            </w:tcMar>
          </w:tcPr>
          <w:p>
            <w:r>
              <w:rPr>
                <w:b w:val="false"/>
                <w:bCs w:val="false"/>
                <w:sz w:val="18"/>
                <w:szCs w:val="18"/>
              </w:rPr>
              <w:t xml:space="preserve">Instrucciones:</w:t>
            </w:r>
          </w:p>
        </w:tc>
        <w:tc>
          <w:tcPr>
            <w:tcW w:type="dxa" w:w="6800"/>
            <w:tcMar>
              <w:top w:type="dxa" w:w="70"/>
              <w:left w:type="dxa" w:w="100"/>
              <w:bottom w:type="dxa" w:w="70"/>
              <w:right w:type="dxa" w:w="100"/>
            </w:tcMar>
          </w:tcPr>
          <w:p>
            <w:r>
              <w:rPr>
                <w:b w:val="false"/>
                <w:bCs w:val="false"/>
                <w:sz w:val="18"/>
                <w:szCs w:val="18"/>
              </w:rPr>
              <w:t xml:space="preserve">Leer cada caso en grupo, responder las preguntas antes de revisar la respuesta modelo</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se agregó el Caso 7, correspondiente al nuevo Módulo 7 del Programa Anual de Capacitación (D11), sobre las obligaciones incorporadas por el Acuerdo 115/2026 (DOF 07/08/2026): Grado de Riesgo, Beneficiario Controlador y auditoría anual obligatoria.</w:t>
      </w:r>
    </w:p>
    <w:p>
      <w:pPr>
        <w:spacing w:after="120"/>
      </w:pPr>
      <w:r>
        <w:rPr>
          <w:sz w:val="20"/>
          <w:szCs w:val="20"/>
        </w:rPr>
        <w:t xml:space="preserve">Los siguientes 7 casos prácticos están diseñados para reforzar el aprendizaje del Programa Certus PLD a través de situaciones reales del sector inmobiliario. Cada caso presenta una situación típica, preguntas de análisis y una respuesta modelo detallada.</w:t>
      </w:r>
    </w:p>
    <w:p>
      <w:pPr>
        <w:pStyle w:val="Heading2"/>
        <w:spacing w:after="120" w:before="320"/>
      </w:pPr>
      <w:r>
        <w:t xml:space="preserve">Caso 1: La preventa que activó todo</w:t>
      </w:r>
    </w:p>
    <w:p>
      <w:pPr>
        <w:spacing w:after="80" w:before="160"/>
      </w:pPr>
      <w:r>
        <w:rPr>
          <w:b/>
          <w:bCs/>
          <w:color w:val="B08D57"/>
          <w:sz w:val="21"/>
          <w:szCs w:val="21"/>
        </w:rPr>
        <w:t xml:space="preserve">Módulo 1 — Marco Normativo</w:t>
      </w:r>
    </w:p>
    <w:p>
      <w:pPr>
        <w:spacing w:after="120"/>
      </w:pPr>
      <w:r>
        <w:rPr>
          <w:sz w:val="20"/>
          <w:szCs w:val="20"/>
        </w:rPr>
        <w:t xml:space="preserve">Situación</w:t>
      </w:r>
    </w:p>
    <w:p>
      <w:pPr>
        <w:spacing w:after="120"/>
      </w:pPr>
      <w:r>
        <w:rPr>
          <w:sz w:val="20"/>
          <w:szCs w:val="20"/>
        </w:rPr>
        <w:t xml:space="preserve">Inmobiliaria Peninsular, S.A. de C.V. desarrolla un conjunto de 40 departamentos en Mérida. En agosto de 2025 lanzaron la preventa del proyecto. A la fecha nunca se han registrado ante el SAT como sujeto obligado PLD/FT porque consideraban que la ley "era solo para bancos". Un asesor externo les menciona que desde julio de 2025 la situación cambió.</w:t>
      </w:r>
    </w:p>
    <w:p>
      <w:pPr>
        <w:spacing w:after="120"/>
      </w:pPr>
      <w:r>
        <w:rPr>
          <w:sz w:val="20"/>
          <w:szCs w:val="20"/>
        </w:rPr>
        <w:t xml:space="preserve">Preguntas de análisis</w:t>
      </w:r>
    </w:p>
    <w:p>
      <w:pPr>
        <w:spacing w:after="120"/>
      </w:pPr>
      <w:r>
        <w:rPr>
          <w:sz w:val="20"/>
          <w:szCs w:val="20"/>
        </w:rPr>
        <w:t xml:space="preserve">1. ¿Desde qué fecha exacta le aplica la LFPIORPI a Inmobiliaria Peninsular?</w:t>
      </w:r>
    </w:p>
    <w:p>
      <w:pPr>
        <w:spacing w:after="120"/>
      </w:pPr>
      <w:r>
        <w:rPr>
          <w:sz w:val="20"/>
          <w:szCs w:val="20"/>
        </w:rPr>
        <w:t xml:space="preserve">2. ¿Qué fracción específicamente activó sus obligaciones?</w:t>
      </w:r>
    </w:p>
    <w:p>
      <w:pPr>
        <w:spacing w:after="120"/>
      </w:pPr>
      <w:r>
        <w:rPr>
          <w:sz w:val="20"/>
          <w:szCs w:val="20"/>
        </w:rPr>
        <w:t xml:space="preserve">3. ¿Requería la empresa tener muchas preventas o basta con una para que aplique la ley?</w:t>
      </w:r>
    </w:p>
    <w:p>
      <w:pPr>
        <w:spacing w:after="120"/>
      </w:pPr>
      <w:r>
        <w:rPr>
          <w:sz w:val="20"/>
          <w:szCs w:val="20"/>
        </w:rPr>
        <w:t xml:space="preserve">4. ¿Cuánto tiempo llevan en incumplimiento y cuál es su exposición máxima acumulada?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La LFPIORPI le aplica desde el 17 de julio de 2025, fecha en que entró en vigor la reforma que incorporó la Fracción V Bis. Esta fracción cubre el desarrollo inmobiliario y preventas, y ELIMINÓ el requisito de habitualidad: una sola preventa activa todas las obligaciones. Si lanzaron la preventa en agosto de 2025, llevan varios meses en incumplimiento. A $1,000,000 MXN por mes de omisión de aviso, la exposición puede superar los $8,000,000 MXN solo por ese concepto.</w:t>
            </w:r>
          </w:p>
        </w:tc>
      </w:tr>
    </w:tbl>
    <w:p>
      <w:pPr>
        <w:pStyle w:val="Heading2"/>
        <w:spacing w:after="120" w:before="320"/>
      </w:pPr>
      <w:r>
        <w:t xml:space="preserve">Caso 2: El comprador en efectivo</w:t>
      </w:r>
    </w:p>
    <w:p>
      <w:pPr>
        <w:spacing w:after="80" w:before="160"/>
      </w:pPr>
      <w:r>
        <w:rPr>
          <w:b/>
          <w:bCs/>
          <w:color w:val="B08D57"/>
          <w:sz w:val="21"/>
          <w:szCs w:val="21"/>
        </w:rPr>
        <w:t xml:space="preserve">Módulo 2 — Señales de Alerta</w:t>
      </w:r>
    </w:p>
    <w:p>
      <w:pPr>
        <w:spacing w:after="120"/>
      </w:pPr>
      <w:r>
        <w:rPr>
          <w:sz w:val="20"/>
          <w:szCs w:val="20"/>
        </w:rPr>
        <w:t xml:space="preserve">Situación</w:t>
      </w:r>
    </w:p>
    <w:p>
      <w:pPr>
        <w:spacing w:after="120"/>
      </w:pPr>
      <w:r>
        <w:rPr>
          <w:sz w:val="20"/>
          <w:szCs w:val="20"/>
        </w:rPr>
        <w:t xml:space="preserve">Un ejecutivo de ventas recibe a un cliente que quiere comprar un departamento de $2,500,000 MXN. El cliente dice que tiene el dinero disponible en efectivo y que quiere cerrar el trato esa misma semana. Cuando el vendedor le pregunta a qué se dedica, el cliente responde vagamente que "tiene negocios". Al preguntar por el comprobante de domicilio, el cliente ofrece uno que parece de una ciudad diferente a donde vive.</w:t>
      </w:r>
    </w:p>
    <w:p>
      <w:pPr>
        <w:spacing w:after="120"/>
      </w:pPr>
      <w:r>
        <w:rPr>
          <w:sz w:val="20"/>
          <w:szCs w:val="20"/>
        </w:rPr>
        <w:t xml:space="preserve">Preguntas de análisis</w:t>
      </w:r>
    </w:p>
    <w:p>
      <w:pPr>
        <w:spacing w:after="120"/>
      </w:pPr>
      <w:r>
        <w:rPr>
          <w:sz w:val="20"/>
          <w:szCs w:val="20"/>
        </w:rPr>
        <w:t xml:space="preserve">1. ¿Cuántas señales de alerta identificas en esta situación?</w:t>
      </w:r>
    </w:p>
    <w:p>
      <w:pPr>
        <w:spacing w:after="120"/>
      </w:pPr>
      <w:r>
        <w:rPr>
          <w:sz w:val="20"/>
          <w:szCs w:val="20"/>
        </w:rPr>
        <w:t xml:space="preserve">2. ¿Puede el ejecutivo de ventas aceptar el pago en efectivo?</w:t>
      </w:r>
    </w:p>
    <w:p>
      <w:pPr>
        <w:spacing w:after="120"/>
      </w:pPr>
      <w:r>
        <w:rPr>
          <w:sz w:val="20"/>
          <w:szCs w:val="20"/>
        </w:rPr>
        <w:t xml:space="preserve">3. ¿Qué debe hacer el vendedor inmediatamente después de esta conversación?</w:t>
      </w:r>
    </w:p>
    <w:p>
      <w:pPr>
        <w:spacing w:after="120"/>
      </w:pPr>
      <w:r>
        <w:rPr>
          <w:sz w:val="20"/>
          <w:szCs w:val="20"/>
        </w:rPr>
        <w:t xml:space="preserve">4. ¿Se puede proceder con la operación sin KYC completo?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Se identifican al menos 4 señales de alerta: (1) pago en efectivo superior al umbral Art. 32 ($941,413 MXN, equivalente a 8,025 UMA), (2) origen de fondos no justificado ("tengo negocios"), (3) comprobante de domicilio inconsistente con lugar de residencia declarado, (4) urgencia inusual para cerrar. El vendedor NO puede aceptar el pago en efectivo de esa magnitud. Debe escalar INMEDIATAMENTE al Representante de Cumplimiento y NO puede proceder con la operación sin KYC completo. La situación puede ameritar un Reporte de Operación Inusual (D9), presentado dentro de las 24 horas siguientes conforme al Art. 26 Bis de las RCG.</w:t>
            </w:r>
          </w:p>
        </w:tc>
      </w:tr>
    </w:tbl>
    <w:p>
      <w:pPr>
        <w:pStyle w:val="Heading2"/>
        <w:spacing w:after="120" w:before="320"/>
      </w:pPr>
      <w:r>
        <w:t xml:space="preserve">Caso 3: El expediente incompleto</w:t>
      </w:r>
    </w:p>
    <w:p>
      <w:pPr>
        <w:spacing w:after="80" w:before="160"/>
      </w:pPr>
      <w:r>
        <w:rPr>
          <w:b/>
          <w:bCs/>
          <w:color w:val="B08D57"/>
          <w:sz w:val="21"/>
          <w:szCs w:val="21"/>
        </w:rPr>
        <w:t xml:space="preserve">Módulo 3 — KYC</w:t>
      </w:r>
    </w:p>
    <w:p>
      <w:pPr>
        <w:spacing w:after="120"/>
      </w:pPr>
      <w:r>
        <w:rPr>
          <w:sz w:val="20"/>
          <w:szCs w:val="20"/>
        </w:rPr>
        <w:t xml:space="preserve">Situación</w:t>
      </w:r>
    </w:p>
    <w:p>
      <w:pPr>
        <w:spacing w:after="120"/>
      </w:pPr>
      <w:r>
        <w:rPr>
          <w:sz w:val="20"/>
          <w:szCs w:val="20"/>
        </w:rPr>
        <w:t xml:space="preserve">El Representante de Cumplimiento revisa los expedientes KYC del mes. Encuentra que 5 de 12 expedientes del área de arrendamiento tienen la Sección C (origen de fondos) completamente en blanco. Cuando pregunta a los gestores, le responden que "los arrendatarios se negaron a proporcionar esa información" y que "no querían perder al cliente por pedirle más papeles".</w:t>
      </w:r>
    </w:p>
    <w:p>
      <w:pPr>
        <w:spacing w:after="120"/>
      </w:pPr>
      <w:r>
        <w:rPr>
          <w:sz w:val="20"/>
          <w:szCs w:val="20"/>
        </w:rPr>
        <w:t xml:space="preserve">Preguntas de análisis</w:t>
      </w:r>
    </w:p>
    <w:p>
      <w:pPr>
        <w:spacing w:after="120"/>
      </w:pPr>
      <w:r>
        <w:rPr>
          <w:sz w:val="20"/>
          <w:szCs w:val="20"/>
        </w:rPr>
        <w:t xml:space="preserve">1. ¿Es válido proceder con un arrendamiento sin completar el origen de fondos?</w:t>
      </w:r>
    </w:p>
    <w:p>
      <w:pPr>
        <w:spacing w:after="120"/>
      </w:pPr>
      <w:r>
        <w:rPr>
          <w:sz w:val="20"/>
          <w:szCs w:val="20"/>
        </w:rPr>
        <w:t xml:space="preserve">2. ¿Qué riesgo genera para la empresa tener expedientes con la Sección C en blanco?</w:t>
      </w:r>
    </w:p>
    <w:p>
      <w:pPr>
        <w:spacing w:after="120"/>
      </w:pPr>
      <w:r>
        <w:rPr>
          <w:sz w:val="20"/>
          <w:szCs w:val="20"/>
        </w:rPr>
        <w:t xml:space="preserve">3. ¿Cómo debe manejar el RC esta situación con los gestores?</w:t>
      </w:r>
    </w:p>
    <w:p>
      <w:pPr>
        <w:spacing w:after="120"/>
      </w:pPr>
      <w:r>
        <w:rPr>
          <w:sz w:val="20"/>
          <w:szCs w:val="20"/>
        </w:rPr>
        <w:t xml:space="preserve">4. ¿Qué debe hacerse con los contratos ya firmados que tienen expedientes incompletos?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NO es válido. El origen de fondos es una obligación legal, no un paso opcional del KYC. Expedientes con la Sección C en blanco representan un incumplimiento del artículo 18 Fracción II de la LFPIORPI y pueden resultar en multas de hasta $1,000,000 MXN. El RC debe: (1) capacitar a los gestores sobre la obligación legal, (2) explicar que la identificación protege a la empresa, no es una preferencia del cliente, (3) exigir que los contratos existentes con expedientes incompletos sean completados en los próximos 30 días, y (4) documentar el hallazgo, que además será materia de revisión en la auditoría anual obligatoria (D13).</w:t>
            </w:r>
          </w:p>
        </w:tc>
      </w:tr>
    </w:tbl>
    <w:p>
      <w:pPr>
        <w:pStyle w:val="Heading2"/>
        <w:spacing w:after="120" w:before="320"/>
      </w:pPr>
      <w:r>
        <w:t xml:space="preserve">Caso 4: El director de obras públicas</w:t>
      </w:r>
    </w:p>
    <w:p>
      <w:pPr>
        <w:spacing w:after="80" w:before="160"/>
      </w:pPr>
      <w:r>
        <w:rPr>
          <w:b/>
          <w:bCs/>
          <w:color w:val="B08D57"/>
          <w:sz w:val="21"/>
          <w:szCs w:val="21"/>
        </w:rPr>
        <w:t xml:space="preserve">Módulo 4 — PEP's</w:t>
      </w:r>
    </w:p>
    <w:p>
      <w:pPr>
        <w:spacing w:after="120"/>
      </w:pPr>
      <w:r>
        <w:rPr>
          <w:sz w:val="20"/>
          <w:szCs w:val="20"/>
        </w:rPr>
        <w:t xml:space="preserve">Situación</w:t>
      </w:r>
    </w:p>
    <w:p>
      <w:pPr>
        <w:spacing w:after="120"/>
      </w:pPr>
      <w:r>
        <w:rPr>
          <w:sz w:val="20"/>
          <w:szCs w:val="20"/>
        </w:rPr>
        <w:t xml:space="preserve">Un prospecto llega a comprar una casa de $4,500,000 MXN. Al llenar el formulario de datos, menciona que es "Director de Obras Públicas del Municipio". El asesor de ventas considera que es un buen cliente porque tiene trabajo estable en gobierno y quiere proceder sin mayor trámite.</w:t>
      </w:r>
    </w:p>
    <w:p>
      <w:pPr>
        <w:spacing w:after="120"/>
      </w:pPr>
      <w:r>
        <w:rPr>
          <w:sz w:val="20"/>
          <w:szCs w:val="20"/>
        </w:rPr>
        <w:t xml:space="preserve">Preguntas de análisis</w:t>
      </w:r>
    </w:p>
    <w:p>
      <w:pPr>
        <w:spacing w:after="120"/>
      </w:pPr>
      <w:r>
        <w:rPr>
          <w:sz w:val="20"/>
          <w:szCs w:val="20"/>
        </w:rPr>
        <w:t xml:space="preserve">1. ¿Es este prospecto un PEP según la definición de la LFPIORPI?</w:t>
      </w:r>
    </w:p>
    <w:p>
      <w:pPr>
        <w:spacing w:after="120"/>
      </w:pPr>
      <w:r>
        <w:rPr>
          <w:sz w:val="20"/>
          <w:szCs w:val="20"/>
        </w:rPr>
        <w:t xml:space="preserve">2. ¿Puede el asesor de ventas aprobar la operación por su cuenta?</w:t>
      </w:r>
    </w:p>
    <w:p>
      <w:pPr>
        <w:spacing w:after="120"/>
      </w:pPr>
      <w:r>
        <w:rPr>
          <w:sz w:val="20"/>
          <w:szCs w:val="20"/>
        </w:rPr>
        <w:t xml:space="preserve">3. ¿Qué documentación adicional debe solicitarse?</w:t>
      </w:r>
    </w:p>
    <w:p>
      <w:pPr>
        <w:spacing w:after="120"/>
      </w:pPr>
      <w:r>
        <w:rPr>
          <w:sz w:val="20"/>
          <w:szCs w:val="20"/>
        </w:rPr>
        <w:t xml:space="preserve">4. ¿Existe alguna razón automática para no operar con este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el Director de Obras Públicas Municipal ES un PEP — es un funcionario público con cargo prominente. El asesor de ventas NO puede aprobar la operación por su cuenta; debe escalar al RC inmediatamente. Documentación adicional requerida: declaración fiscal de los últimos 2 años y estados de cuenta bancarios de los últimos 6 meses para verificar congruencia del precio de compra con el nivel de ingresos del cargo. No existe una razón automática para no operar — un PEP puede ser cliente siempre que se apliquen las medidas reforzadas; si además resulta de Grado de Riesgo alto, la operación requiere la aprobación de un directivo antes de formalizarse (Art. 23 Ter 5 RCG).</w:t>
            </w:r>
          </w:p>
        </w:tc>
      </w:tr>
    </w:tbl>
    <w:p>
      <w:pPr>
        <w:pStyle w:val="Heading2"/>
        <w:spacing w:after="120" w:before="320"/>
      </w:pPr>
      <w:r>
        <w:t xml:space="preserve">Caso 5: La bodega industrial</w:t>
      </w:r>
    </w:p>
    <w:p>
      <w:pPr>
        <w:spacing w:after="80" w:before="160"/>
      </w:pPr>
      <w:r>
        <w:rPr>
          <w:b/>
          <w:bCs/>
          <w:color w:val="B08D57"/>
          <w:sz w:val="21"/>
          <w:szCs w:val="21"/>
        </w:rPr>
        <w:t xml:space="preserve">Módulo 5 — Arrendamiento</w:t>
      </w:r>
    </w:p>
    <w:p>
      <w:pPr>
        <w:spacing w:after="120"/>
      </w:pPr>
      <w:r>
        <w:rPr>
          <w:sz w:val="20"/>
          <w:szCs w:val="20"/>
        </w:rPr>
        <w:t xml:space="preserve">Situación</w:t>
      </w:r>
    </w:p>
    <w:p>
      <w:pPr>
        <w:spacing w:after="120"/>
      </w:pPr>
      <w:r>
        <w:rPr>
          <w:sz w:val="20"/>
          <w:szCs w:val="20"/>
        </w:rPr>
        <w:t xml:space="preserve">La empresa administra una bodega industrial que arrendó por $220,000 MXN mensuales. El arrendatario paga puntualmente y nunca ha causado problemas. El RC nuevo, al revisar el expediente, descubre que no existe ningún expediente KYC del arrendatario porque "siempre ha pagado bien" y "es una empresa conocida de la región".</w:t>
      </w:r>
    </w:p>
    <w:p>
      <w:pPr>
        <w:spacing w:after="120"/>
      </w:pPr>
      <w:r>
        <w:rPr>
          <w:sz w:val="20"/>
          <w:szCs w:val="20"/>
        </w:rPr>
        <w:t xml:space="preserve">Preguntas de análisis</w:t>
      </w:r>
    </w:p>
    <w:p>
      <w:pPr>
        <w:spacing w:after="120"/>
      </w:pPr>
      <w:r>
        <w:rPr>
          <w:sz w:val="20"/>
          <w:szCs w:val="20"/>
        </w:rPr>
        <w:t xml:space="preserve">1. ¿La renta de $220,000 MXN activa obligaciones bajo la LFPIORPI?</w:t>
      </w:r>
    </w:p>
    <w:p>
      <w:pPr>
        <w:spacing w:after="120"/>
      </w:pPr>
      <w:r>
        <w:rPr>
          <w:sz w:val="20"/>
          <w:szCs w:val="20"/>
        </w:rPr>
        <w:t xml:space="preserve">2. ¿La reputación positiva del arrendatario exime de la obligación de KYC?</w:t>
      </w:r>
    </w:p>
    <w:p>
      <w:pPr>
        <w:spacing w:after="120"/>
      </w:pPr>
      <w:r>
        <w:rPr>
          <w:sz w:val="20"/>
          <w:szCs w:val="20"/>
        </w:rPr>
        <w:t xml:space="preserve">3. ¿Se debe presentar Aviso al SAT por este arrendamiento?</w:t>
      </w:r>
    </w:p>
    <w:p>
      <w:pPr>
        <w:spacing w:after="120"/>
      </w:pPr>
      <w:r>
        <w:rPr>
          <w:sz w:val="20"/>
          <w:szCs w:val="20"/>
        </w:rPr>
        <w:t xml:space="preserve">4. ¿Cómo regularizar esta situación?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$220,000 MXN supera el umbral de identificación de 1,605 UMA ($188,283 MXN) de la Fracción XV, por lo que el arrendatario DEBE ser identificado con expediente KYC completo, incluyendo la clasificación de su Grado de Riesgo (D6) y, si es persona moral, la identificación de su Beneficiario Controlador (D7, Sección E). La buena reputación o el historial de pagos no exime de la obligación legal. Respecto al Aviso: $220,000 MXN está por debajo del umbral de Aviso de 3,210 UMA ($376,565 MXN), por lo que no se presenta Aviso pero sí se requiere KYC. Para regularizar: integrar el expediente D7 del arrendatario a la brevedad y documentar el hallazgo, que quedará sujeto a revisión en la próxima auditoría anual.</w:t>
            </w:r>
          </w:p>
        </w:tc>
      </w:tr>
    </w:tbl>
    <w:p>
      <w:pPr>
        <w:pStyle w:val="Heading2"/>
        <w:spacing w:after="120" w:before="320"/>
      </w:pPr>
      <w:r>
        <w:t xml:space="preserve">Caso 6: El aviso que no se presentó</w:t>
      </w:r>
    </w:p>
    <w:p>
      <w:pPr>
        <w:spacing w:after="80" w:before="160"/>
      </w:pPr>
      <w:r>
        <w:rPr>
          <w:b/>
          <w:bCs/>
          <w:color w:val="B08D57"/>
          <w:sz w:val="21"/>
          <w:szCs w:val="21"/>
        </w:rPr>
        <w:t xml:space="preserve">Módulo 6 — Reportes y Avisos</w:t>
      </w:r>
    </w:p>
    <w:p>
      <w:pPr>
        <w:spacing w:after="120"/>
      </w:pPr>
      <w:r>
        <w:rPr>
          <w:sz w:val="20"/>
          <w:szCs w:val="20"/>
        </w:rPr>
        <w:t xml:space="preserve">Situación</w:t>
      </w:r>
    </w:p>
    <w:p>
      <w:pPr>
        <w:spacing w:after="120"/>
      </w:pPr>
      <w:r>
        <w:rPr>
          <w:sz w:val="20"/>
          <w:szCs w:val="20"/>
        </w:rPr>
        <w:t xml:space="preserve">Es día 20 del mes. El RC revisa el libro D12 y se da cuenta de que en el mes anterior cerró una operación de compraventa por $1,200,000 MXN que supera el umbral de Aviso, pero no presentó el aviso al SAT porque "se le olvidó" entre las vacaciones de fin de año. Consulta con el director si "conviene presentarlo tarde o mejor no presentarlo para no llamar la atención".</w:t>
      </w:r>
    </w:p>
    <w:p>
      <w:pPr>
        <w:spacing w:after="120"/>
      </w:pPr>
      <w:r>
        <w:rPr>
          <w:sz w:val="20"/>
          <w:szCs w:val="20"/>
        </w:rPr>
        <w:t xml:space="preserve">Preguntas de análisis</w:t>
      </w:r>
    </w:p>
    <w:p>
      <w:pPr>
        <w:spacing w:after="120"/>
      </w:pPr>
      <w:r>
        <w:rPr>
          <w:sz w:val="20"/>
          <w:szCs w:val="20"/>
        </w:rPr>
        <w:t xml:space="preserve">1. ¿Qué recomendación correcta debe dar el RC ante esta situación?</w:t>
      </w:r>
    </w:p>
    <w:p>
      <w:pPr>
        <w:spacing w:after="120"/>
      </w:pPr>
      <w:r>
        <w:rPr>
          <w:sz w:val="20"/>
          <w:szCs w:val="20"/>
        </w:rPr>
        <w:t xml:space="preserve">2. ¿Cuál es la diferencia legal entre presentar el aviso tarde y no presentarlo?</w:t>
      </w:r>
    </w:p>
    <w:p>
      <w:pPr>
        <w:spacing w:after="120"/>
      </w:pPr>
      <w:r>
        <w:rPr>
          <w:sz w:val="20"/>
          <w:szCs w:val="20"/>
        </w:rPr>
        <w:t xml:space="preserve">3. ¿Cómo afecta la actuación espontánea a esta situación?</w:t>
      </w:r>
    </w:p>
    <w:p>
      <w:pPr>
        <w:spacing w:after="120"/>
      </w:pPr>
      <w:r>
        <w:rPr>
          <w:sz w:val="20"/>
          <w:szCs w:val="20"/>
        </w:rPr>
        <w:t xml:space="preserve">4. ¿Qué debe registrar en el libro D12?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La recomendación correcta es presentar el aviso inmediatamente, aunque sea extemporáneo. No presentarlo es PEOR que presentarlo tarde: la omisión total puede resultar en multa de 10,000 a 65,000 UMA (Art. 54, fr. III, de la Ley), mientras que la presentación dentro de los 30 días siguientes al plazo se sanciona con 200 a 2,000 UMA (Arts. 53, fr. III, y 54, fr. I). La actuación espontánea aplica aquí: si se presenta antes de que el SAT detecte la omisión, la empresa puede beneficiarse de el beneficio del Art. 55 de la Ley (abstención de sancionar por única ocasión o, si ya se ejerció, reducción de hasta 50% de la multa). En el libro D12 debe registrarse la operación, la fecha en que debía presentarse el aviso, la fecha en que se presentó realmente, y una nota explicando el retraso. Este hallazgo debe documentarse también en el D13.</w:t>
            </w:r>
          </w:p>
        </w:tc>
      </w:tr>
    </w:tbl>
    <w:p>
      <w:pPr>
        <w:pStyle w:val="Heading2"/>
        <w:spacing w:after="120" w:before="320"/>
      </w:pPr>
      <w:r>
        <w:t xml:space="preserve">Caso 7: La sociedad que no quiere declarar a su socio mayoritario</w:t>
      </w:r>
    </w:p>
    <w:p>
      <w:pPr>
        <w:spacing w:after="80" w:before="160"/>
      </w:pPr>
      <w:r>
        <w:rPr>
          <w:b/>
          <w:bCs/>
          <w:color w:val="B08D57"/>
          <w:sz w:val="21"/>
          <w:szCs w:val="21"/>
        </w:rPr>
        <w:t xml:space="preserve">Módulo 7 — Reforma RCG 2026: EBR, Grado de Riesgo y Beneficiario Controlador</w:t>
      </w:r>
    </w:p>
    <w:p>
      <w:pPr>
        <w:spacing w:after="120"/>
      </w:pPr>
      <w:r>
        <w:rPr>
          <w:sz w:val="20"/>
          <w:szCs w:val="20"/>
        </w:rPr>
        <w:t xml:space="preserve">Situación</w:t>
      </w:r>
    </w:p>
    <w:p>
      <w:pPr>
        <w:spacing w:after="120"/>
      </w:pPr>
      <w:r>
        <w:rPr>
          <w:sz w:val="20"/>
          <w:szCs w:val="20"/>
        </w:rPr>
        <w:t xml:space="preserve">Una persona moral constituida hace 8 meses se presenta como cliente para la compra de un departamento de $2,800,000 MXN. Tiene tres accionistas: dos personas físicas mexicanas con 30% cada una, y una persona física con 40% que es residente de un país que la legislación mexicana considera de régimen fiscal preferente. El vendedor, que nunca había manejado este tipo de caso, no sabe si debe pedir información adicional sobre el accionista del 40% ni cómo clasificar el riesgo de la operación.</w:t>
      </w:r>
    </w:p>
    <w:p>
      <w:pPr>
        <w:spacing w:after="120"/>
      </w:pPr>
      <w:r>
        <w:rPr>
          <w:sz w:val="20"/>
          <w:szCs w:val="20"/>
        </w:rPr>
        <w:t xml:space="preserve">Preguntas de análisis</w:t>
      </w:r>
    </w:p>
    <w:p>
      <w:pPr>
        <w:spacing w:after="120"/>
      </w:pPr>
      <w:r>
        <w:rPr>
          <w:sz w:val="20"/>
          <w:szCs w:val="20"/>
        </w:rPr>
        <w:t xml:space="preserve">1. ¿Debe identificarse al Beneficiario Controlador en este caso, y quién sería?</w:t>
      </w:r>
    </w:p>
    <w:p>
      <w:pPr>
        <w:spacing w:after="120"/>
      </w:pPr>
      <w:r>
        <w:rPr>
          <w:sz w:val="20"/>
          <w:szCs w:val="20"/>
        </w:rPr>
        <w:t xml:space="preserve">2. ¿Qué Grado de Riesgo corresponde a esta operación, y por qué?</w:t>
      </w:r>
    </w:p>
    <w:p>
      <w:pPr>
        <w:spacing w:after="120"/>
      </w:pPr>
      <w:r>
        <w:rPr>
          <w:sz w:val="20"/>
          <w:szCs w:val="20"/>
        </w:rPr>
        <w:t xml:space="preserve">3. ¿Aplica alguna clasificación obligatoria de Riesgo alto, independientemente del puntaje EBR?</w:t>
      </w:r>
    </w:p>
    <w:p>
      <w:pPr>
        <w:spacing w:after="120"/>
      </w:pPr>
      <w:r>
        <w:rPr>
          <w:sz w:val="20"/>
          <w:szCs w:val="20"/>
        </w:rPr>
        <w:t xml:space="preserve">4. ¿Qué documentos del Kit debe usar el vendedor para resolver correctamente este caso?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debe identificarse: el accionista con 40% supera el umbral del 25% del capital social, por lo que es Beneficiario Controlador directo por titularidad (Art. 23 Quinquies RCG; ver D7, Sección E, y D14). Por tratarse de una persona no residente vinculada a una jurisdicción de régimen fiscal preferente, la operación se clasifica como Grado de Riesgo ALTO de forma OBLIGATORIA, con independencia de la puntuación que arroje la matriz ponderada de la Metodología EBR (Art. 23 Bis 4 RCG; D6, Sección VII). Esto exige: recabar y documentar las razones por las que el cliente celebra la operación en territorio mexicano, aplicar debida diligencia reforzada (D5, Cap. 6) y, si además el accionista fuera PEP extranjero, obtener la aprobación de un directivo antes de operar (D8, Sección V). El vendedor debe usar D6 (para la clasificación), D7 (para el expediente y la Sección de Beneficiario Controlador) y D14 (para la metodología detallada de identificación del Beneficiario Controlador).</w:t>
            </w:r>
          </w:p>
        </w:tc>
      </w:tr>
    </w:tbl>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2026-08-11T14:40:14.102Z</dcterms:created>
  <dcterms:modified xsi:type="dcterms:W3CDTF">2026-08-11T14:40:14.113Z</dcterms:modified>
</cp:coreProperties>
</file>

<file path=docProps/custom.xml><?xml version="1.0" encoding="utf-8"?>
<Properties xmlns="http://schemas.openxmlformats.org/officeDocument/2006/custom-properties" xmlns:vt="http://schemas.openxmlformats.org/officeDocument/2006/docPropsVTypes"/>
</file>