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D11-C — Evaluación de Comprensión — Certus PLD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del participante: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G1  [ ] G2  [ ] G3  [ ] G4  [ ] G5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Módulos evaluados: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  [ ] 4  [ ] 5  [ ] 6  [ ] 7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Calificación: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 / 24 puntos   │   [ ] APROBADO (≥17)   [ ] REPROBADO (&lt;17)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se agregaron las Preguntas 10 y 11, correspondientes al nuevo Módulo 7 sobre el Acuerdo 115/2026 (DOF 07/08/2026). El puntaje máximo pasó de 20 a 24 puntos y el mínimo aprobatorio de 14 a 17 puntos (proporcional, ~70%).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INSTRUCCIONES: Seleccione la respuesta correcta en cada pregunta de opción múltiple (2 pts c/u). La pregunta 12 es abierta (2 pts). Puntaje máximo: 24 pts. Mínimo aprobatorio: 17 pts.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Preguntas de opción múltiple (11 x 2 pts = 22 pts)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 — Marco normativo (Módulo 1)</w:t>
      </w:r>
    </w:p>
    <w:p>
      <w:pPr>
        <w:spacing w:after="80"/>
      </w:pPr>
      <w:r>
        <w:rPr>
          <w:sz w:val="20"/>
          <w:szCs w:val="20"/>
        </w:rPr>
        <w:t xml:space="preserve">¿Cuál de las siguientes afirmaciones sobre la Fracción V Bis de la LFPIORPI es CORRECTA?</w:t>
      </w:r>
    </w:p>
    <w:p>
      <w:pPr>
        <w:spacing w:after="40"/>
      </w:pPr>
      <w:r>
        <w:rPr>
          <w:sz w:val="20"/>
          <w:szCs w:val="20"/>
        </w:rPr>
        <w:t xml:space="preserve">[ ] A) La Fracción V Bis solo aplica a empresas que desarrollan más de 10 proyectos al año</w:t>
      </w:r>
    </w:p>
    <w:p>
      <w:pPr>
        <w:spacing w:after="40"/>
      </w:pPr>
      <w:r>
        <w:rPr>
          <w:sz w:val="20"/>
          <w:szCs w:val="20"/>
        </w:rPr>
        <w:t xml:space="preserve">[ ] B) La Fracción V Bis requiere habitualidad en las preventas para activar las obligaciones</w:t>
      </w:r>
    </w:p>
    <w:p>
      <w:pPr>
        <w:spacing w:after="40"/>
      </w:pPr>
      <w:r>
        <w:rPr>
          <w:sz w:val="20"/>
          <w:szCs w:val="20"/>
        </w:rPr>
        <w:t xml:space="preserve">[ ] C) La Fracción V Bis fue incorporada por la reforma de julio 2025 y activa obligaciones con UNA sola preventa</w:t>
      </w:r>
    </w:p>
    <w:p>
      <w:pPr>
        <w:spacing w:after="40"/>
      </w:pPr>
      <w:r>
        <w:rPr>
          <w:sz w:val="20"/>
          <w:szCs w:val="20"/>
        </w:rPr>
        <w:t xml:space="preserve">[ ] D) La Fracción V Bis solo aplica a preventas que superen los $941,413 MXN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2 — UMA y umbrales (Módulo 1)</w:t>
      </w:r>
    </w:p>
    <w:p>
      <w:pPr>
        <w:spacing w:after="80"/>
      </w:pPr>
      <w:r>
        <w:rPr>
          <w:sz w:val="20"/>
          <w:szCs w:val="20"/>
        </w:rPr>
        <w:t xml:space="preserve">¿Cuál es el umbral de Aviso al SAT para una operación de compraventa en la Fracción V (UMA 2026)?</w:t>
      </w:r>
    </w:p>
    <w:p>
      <w:pPr>
        <w:spacing w:after="40"/>
      </w:pPr>
      <w:r>
        <w:rPr>
          <w:sz w:val="20"/>
          <w:szCs w:val="20"/>
        </w:rPr>
        <w:t xml:space="preserve">[ ] A) $500,000 MXN</w:t>
      </w:r>
    </w:p>
    <w:p>
      <w:pPr>
        <w:spacing w:after="40"/>
      </w:pPr>
      <w:r>
        <w:rPr>
          <w:sz w:val="20"/>
          <w:szCs w:val="20"/>
        </w:rPr>
        <w:t xml:space="preserve">[ ] B) $188,283 MXN</w:t>
      </w:r>
    </w:p>
    <w:p>
      <w:pPr>
        <w:spacing w:after="40"/>
      </w:pPr>
      <w:r>
        <w:rPr>
          <w:sz w:val="20"/>
          <w:szCs w:val="20"/>
        </w:rPr>
        <w:t xml:space="preserve">[ ] C) $941,413 MXN</w:t>
      </w:r>
    </w:p>
    <w:p>
      <w:pPr>
        <w:spacing w:after="40"/>
      </w:pPr>
      <w:r>
        <w:rPr>
          <w:sz w:val="20"/>
          <w:szCs w:val="20"/>
        </w:rPr>
        <w:t xml:space="preserve">[ ] D) $1,173,100 MXN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3 — Señales de alerta (Módulo 2)</w:t>
      </w:r>
    </w:p>
    <w:p>
      <w:pPr>
        <w:spacing w:after="80"/>
      </w:pPr>
      <w:r>
        <w:rPr>
          <w:sz w:val="20"/>
          <w:szCs w:val="20"/>
        </w:rPr>
        <w:t xml:space="preserve">Un cliente quiere comprar un inmueble de $800,000 MXN y ofrece pagar $200,000 en efectivo hoy y el resto "después como acordemos". ¿Qué señales de alerta identifica?</w:t>
      </w:r>
    </w:p>
    <w:p>
      <w:pPr>
        <w:spacing w:after="40"/>
      </w:pPr>
      <w:r>
        <w:rPr>
          <w:sz w:val="20"/>
          <w:szCs w:val="20"/>
        </w:rPr>
        <w:t xml:space="preserve">[ ] A) Ninguna, el pago en efectivo parcial es común en el sector inmobiliario</w:t>
      </w:r>
    </w:p>
    <w:p>
      <w:pPr>
        <w:spacing w:after="40"/>
      </w:pPr>
      <w:r>
        <w:rPr>
          <w:sz w:val="20"/>
          <w:szCs w:val="20"/>
        </w:rPr>
        <w:t xml:space="preserve">[ ] B) Posible estructuración de pagos para evitar el umbral del artículo 32 LFPIORPI</w:t>
      </w:r>
    </w:p>
    <w:p>
      <w:pPr>
        <w:spacing w:after="40"/>
      </w:pPr>
      <w:r>
        <w:rPr>
          <w:sz w:val="20"/>
          <w:szCs w:val="20"/>
        </w:rPr>
        <w:t xml:space="preserve">[ ] C) Solo hay alerta si el total de la operación supera los $941,413 MXN</w:t>
      </w:r>
    </w:p>
    <w:p>
      <w:pPr>
        <w:spacing w:after="40"/>
      </w:pPr>
      <w:r>
        <w:rPr>
          <w:sz w:val="20"/>
          <w:szCs w:val="20"/>
        </w:rPr>
        <w:t xml:space="preserve">[ ] D) Solo es alerta si el cliente es extranjero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4 — KYC (Módulo 3)</w:t>
      </w:r>
    </w:p>
    <w:p>
      <w:pPr>
        <w:spacing w:after="80"/>
      </w:pPr>
      <w:r>
        <w:rPr>
          <w:sz w:val="20"/>
          <w:szCs w:val="20"/>
        </w:rPr>
        <w:t xml:space="preserve">¿En qué momento debe integrarse el expediente KYC de un cliente?</w:t>
      </w:r>
    </w:p>
    <w:p>
      <w:pPr>
        <w:spacing w:after="40"/>
      </w:pPr>
      <w:r>
        <w:rPr>
          <w:sz w:val="20"/>
          <w:szCs w:val="20"/>
        </w:rPr>
        <w:t xml:space="preserve">[ ] A) Después de firmar el contrato, para no retrasar el proceso de venta</w:t>
      </w:r>
    </w:p>
    <w:p>
      <w:pPr>
        <w:spacing w:after="40"/>
      </w:pPr>
      <w:r>
        <w:rPr>
          <w:sz w:val="20"/>
          <w:szCs w:val="20"/>
        </w:rPr>
        <w:t xml:space="preserve">[ ] B) Solo cuando la operación supera el umbral de Aviso al SAT</w:t>
      </w:r>
    </w:p>
    <w:p>
      <w:pPr>
        <w:spacing w:after="40"/>
      </w:pPr>
      <w:r>
        <w:rPr>
          <w:sz w:val="20"/>
          <w:szCs w:val="20"/>
        </w:rPr>
        <w:t xml:space="preserve">[ ] C) ANTES de formalizar cualquier contrato, sin importar el monto</w:t>
      </w:r>
    </w:p>
    <w:p>
      <w:pPr>
        <w:spacing w:after="40"/>
      </w:pPr>
      <w:r>
        <w:rPr>
          <w:sz w:val="20"/>
          <w:szCs w:val="20"/>
        </w:rPr>
        <w:t xml:space="preserve">[ ] D) Al momento de escriturar ante el notario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5 — Origen de fondos (Módulo 3)</w:t>
      </w:r>
    </w:p>
    <w:p>
      <w:pPr>
        <w:spacing w:after="80"/>
      </w:pPr>
      <w:r>
        <w:rPr>
          <w:sz w:val="20"/>
          <w:szCs w:val="20"/>
        </w:rPr>
        <w:t xml:space="preserve">Un cliente dice que sus recursos provienen de "ahorros personales". ¿Qué documento de soporte es el más apropiado para acreditar este origen?</w:t>
      </w:r>
    </w:p>
    <w:p>
      <w:pPr>
        <w:spacing w:after="40"/>
      </w:pPr>
      <w:r>
        <w:rPr>
          <w:sz w:val="20"/>
          <w:szCs w:val="20"/>
        </w:rPr>
        <w:t xml:space="preserve">[ ] A) Una carta del cliente firmada declarando que son ahorros</w:t>
      </w:r>
    </w:p>
    <w:p>
      <w:pPr>
        <w:spacing w:after="40"/>
      </w:pPr>
      <w:r>
        <w:rPr>
          <w:sz w:val="20"/>
          <w:szCs w:val="20"/>
        </w:rPr>
        <w:t xml:space="preserve">[ ] B) Estados de cuenta bancarios de los últimos 3 a 6 meses</w:t>
      </w:r>
    </w:p>
    <w:p>
      <w:pPr>
        <w:spacing w:after="40"/>
      </w:pPr>
      <w:r>
        <w:rPr>
          <w:sz w:val="20"/>
          <w:szCs w:val="20"/>
        </w:rPr>
        <w:t xml:space="preserve">[ ] C) No se requiere soporte si el cliente tiene identificación vigente</w:t>
      </w:r>
    </w:p>
    <w:p>
      <w:pPr>
        <w:spacing w:after="40"/>
      </w:pPr>
      <w:r>
        <w:rPr>
          <w:sz w:val="20"/>
          <w:szCs w:val="20"/>
        </w:rPr>
        <w:t xml:space="preserve">[ ] D) Un comprobante de domicilio reciente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6 — PEP's (Módulo 4)</w:t>
      </w:r>
    </w:p>
    <w:p>
      <w:pPr>
        <w:spacing w:after="80"/>
      </w:pPr>
      <w:r>
        <w:rPr>
          <w:sz w:val="20"/>
          <w:szCs w:val="20"/>
        </w:rPr>
        <w:t xml:space="preserve">La esposa de un presidente municipal quiere rentar un local comercial. ¿Qué medidas aplican?</w:t>
      </w:r>
    </w:p>
    <w:p>
      <w:pPr>
        <w:spacing w:after="40"/>
      </w:pPr>
      <w:r>
        <w:rPr>
          <w:sz w:val="20"/>
          <w:szCs w:val="20"/>
        </w:rPr>
        <w:t xml:space="preserve">[ ] A) Ninguna — solo el propio funcionario es PEP, no sus familiares</w:t>
      </w:r>
    </w:p>
    <w:p>
      <w:pPr>
        <w:spacing w:after="40"/>
      </w:pPr>
      <w:r>
        <w:rPr>
          <w:sz w:val="20"/>
          <w:szCs w:val="20"/>
        </w:rPr>
        <w:t xml:space="preserve">[ ] B) Medidas reforzadas — familiar directo de PEP aplica el mismo protocolo</w:t>
      </w:r>
    </w:p>
    <w:p>
      <w:pPr>
        <w:spacing w:after="40"/>
      </w:pPr>
      <w:r>
        <w:rPr>
          <w:sz w:val="20"/>
          <w:szCs w:val="20"/>
        </w:rPr>
        <w:t xml:space="preserve">[ ] C) Solo aplican medidas si la renta supera el umbral del Art. 32</w:t>
      </w:r>
    </w:p>
    <w:p>
      <w:pPr>
        <w:spacing w:after="40"/>
      </w:pPr>
      <w:r>
        <w:rPr>
          <w:sz w:val="20"/>
          <w:szCs w:val="20"/>
        </w:rPr>
        <w:t xml:space="preserve">[ ] D) Solo aplican medidas si el esposo sigue en el cargo actualmente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7 — Arrendamiento (Módulo 5)</w:t>
      </w:r>
    </w:p>
    <w:p>
      <w:pPr>
        <w:spacing w:after="80"/>
      </w:pPr>
      <w:r>
        <w:rPr>
          <w:sz w:val="20"/>
          <w:szCs w:val="20"/>
        </w:rPr>
        <w:t xml:space="preserve">Una bodega se renta en $300,000 MXN mensuales. ¿Qué obligaciones activa esta operación?</w:t>
      </w:r>
    </w:p>
    <w:p>
      <w:pPr>
        <w:spacing w:after="40"/>
      </w:pPr>
      <w:r>
        <w:rPr>
          <w:sz w:val="20"/>
          <w:szCs w:val="20"/>
        </w:rPr>
        <w:t xml:space="preserve">[ ] A) Ninguna — el arrendamiento no está regulado por la LFPIORPI</w:t>
      </w:r>
    </w:p>
    <w:p>
      <w:pPr>
        <w:spacing w:after="40"/>
      </w:pPr>
      <w:r>
        <w:rPr>
          <w:sz w:val="20"/>
          <w:szCs w:val="20"/>
        </w:rPr>
        <w:t xml:space="preserve">[ ] B) Solo identificación — supera el umbral de identificación pero no el de Aviso al SAT</w:t>
      </w:r>
    </w:p>
    <w:p>
      <w:pPr>
        <w:spacing w:after="40"/>
      </w:pPr>
      <w:r>
        <w:rPr>
          <w:sz w:val="20"/>
          <w:szCs w:val="20"/>
        </w:rPr>
        <w:t xml:space="preserve">[ ] C) Identificación y Aviso al SAT — supera ambos umbrales</w:t>
      </w:r>
    </w:p>
    <w:p>
      <w:pPr>
        <w:spacing w:after="40"/>
      </w:pPr>
      <w:r>
        <w:rPr>
          <w:sz w:val="20"/>
          <w:szCs w:val="20"/>
        </w:rPr>
        <w:t xml:space="preserve">[ ] D) Solo Aviso al SAT — la identificación no es obligatoria en arrendamiento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8 — Reportes (Módulo 6)</w:t>
      </w:r>
    </w:p>
    <w:p>
      <w:pPr>
        <w:spacing w:after="80"/>
      </w:pPr>
      <w:r>
        <w:rPr>
          <w:sz w:val="20"/>
          <w:szCs w:val="20"/>
        </w:rPr>
        <w:t xml:space="preserve">Detecta que un cliente presenta múltiples señales de alerta. ¿Qué hace PRIMERO?</w:t>
      </w:r>
    </w:p>
    <w:p>
      <w:pPr>
        <w:spacing w:after="40"/>
      </w:pPr>
      <w:r>
        <w:rPr>
          <w:sz w:val="20"/>
          <w:szCs w:val="20"/>
        </w:rPr>
        <w:t xml:space="preserve">[ ] A) Rechazar al cliente y decirle que no puede comprar</w:t>
      </w:r>
    </w:p>
    <w:p>
      <w:pPr>
        <w:spacing w:after="40"/>
      </w:pPr>
      <w:r>
        <w:rPr>
          <w:sz w:val="20"/>
          <w:szCs w:val="20"/>
        </w:rPr>
        <w:t xml:space="preserve">[ ] B) Llamar al cliente para pedirle que explique las señales de alerta</w:t>
      </w:r>
    </w:p>
    <w:p>
      <w:pPr>
        <w:spacing w:after="40"/>
      </w:pPr>
      <w:r>
        <w:rPr>
          <w:sz w:val="20"/>
          <w:szCs w:val="20"/>
        </w:rPr>
        <w:t xml:space="preserve">[ ] C) Escalar al Representante de Cumplimiento ese mismo día sin comunicar nada al cliente</w:t>
      </w:r>
    </w:p>
    <w:p>
      <w:pPr>
        <w:spacing w:after="40"/>
      </w:pPr>
      <w:r>
        <w:rPr>
          <w:sz w:val="20"/>
          <w:szCs w:val="20"/>
        </w:rPr>
        <w:t xml:space="preserve">[ ] D) Esperar a ver si la siguiente operación del cliente también genera alertas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9 — Avisos al SAT (Módulo 6)</w:t>
      </w:r>
    </w:p>
    <w:p>
      <w:pPr>
        <w:spacing w:after="80"/>
      </w:pPr>
      <w:r>
        <w:rPr>
          <w:sz w:val="20"/>
          <w:szCs w:val="20"/>
        </w:rPr>
        <w:t xml:space="preserve">¿Qué debe hacer la empresa en un mes donde no hubo operaciones que superen el umbral de Aviso?</w:t>
      </w:r>
    </w:p>
    <w:p>
      <w:pPr>
        <w:spacing w:after="40"/>
      </w:pPr>
      <w:r>
        <w:rPr>
          <w:sz w:val="20"/>
          <w:szCs w:val="20"/>
        </w:rPr>
        <w:t xml:space="preserve">[ ] A) No hacer nada — sin operaciones no hay obligación de reportar</w:t>
      </w:r>
    </w:p>
    <w:p>
      <w:pPr>
        <w:spacing w:after="40"/>
      </w:pPr>
      <w:r>
        <w:rPr>
          <w:sz w:val="20"/>
          <w:szCs w:val="20"/>
        </w:rPr>
        <w:t xml:space="preserve">[ ] B) Presentar un Informe en ceros a más tardar el día 17 del mes siguiente</w:t>
      </w:r>
    </w:p>
    <w:p>
      <w:pPr>
        <w:spacing w:after="40"/>
      </w:pPr>
      <w:r>
        <w:rPr>
          <w:sz w:val="20"/>
          <w:szCs w:val="20"/>
        </w:rPr>
        <w:t xml:space="preserve">[ ] C) Acumular los meses sin operaciones y reportarlos todos juntos al final del año</w:t>
      </w:r>
    </w:p>
    <w:p>
      <w:pPr>
        <w:spacing w:after="40"/>
      </w:pPr>
      <w:r>
        <w:rPr>
          <w:sz w:val="20"/>
          <w:szCs w:val="20"/>
        </w:rPr>
        <w:t xml:space="preserve">[ ] D) Informar telefónicamente al SAT que no hubo operaciones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10 — Grado de Riesgo y Beneficiario Controlador (Módulo 7)</w:t>
      </w:r>
    </w:p>
    <w:p>
      <w:pPr>
        <w:spacing w:after="80"/>
      </w:pPr>
      <w:r>
        <w:rPr>
          <w:sz w:val="20"/>
          <w:szCs w:val="20"/>
        </w:rPr>
        <w:t xml:space="preserve">Un cliente persona moral tiene un accionista extranjero, no residente, vinculado a una jurisdicción de régimen fiscal preferente, con 40% del capital social. ¿Cómo debe clasificarse el Grado de Riesgo de esta operación?</w:t>
      </w:r>
    </w:p>
    <w:p>
      <w:pPr>
        <w:spacing w:after="40"/>
      </w:pPr>
      <w:r>
        <w:rPr>
          <w:sz w:val="20"/>
          <w:szCs w:val="20"/>
        </w:rPr>
        <w:t xml:space="preserve">[ ] A) Se calcula normalmente con la matriz ponderada de D6, sin ninguna regla especial</w:t>
      </w:r>
    </w:p>
    <w:p>
      <w:pPr>
        <w:spacing w:after="40"/>
      </w:pPr>
      <w:r>
        <w:rPr>
          <w:sz w:val="20"/>
          <w:szCs w:val="20"/>
        </w:rPr>
        <w:t xml:space="preserve">[ ] B) BAJO, porque el resto de los indicadores pueden compensar ese factor</w:t>
      </w:r>
    </w:p>
    <w:p>
      <w:pPr>
        <w:spacing w:after="40"/>
      </w:pPr>
      <w:r>
        <w:rPr>
          <w:sz w:val="20"/>
          <w:szCs w:val="20"/>
        </w:rPr>
        <w:t xml:space="preserve">[ ] C) ALTO de forma obligatoria, con independencia del puntaje EBR, conforme al Art. 23 Bis 4 de las RCG</w:t>
      </w:r>
    </w:p>
    <w:p>
      <w:pPr>
        <w:spacing w:after="40"/>
      </w:pPr>
      <w:r>
        <w:rPr>
          <w:sz w:val="20"/>
          <w:szCs w:val="20"/>
        </w:rPr>
        <w:t xml:space="preserve">[ ] D) MEDIO, salvo que el cliente sea también PEP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11 — Auditoría anual (Módulo 7)</w:t>
      </w:r>
    </w:p>
    <w:p>
      <w:pPr>
        <w:spacing w:after="80"/>
      </w:pPr>
      <w:r>
        <w:rPr>
          <w:sz w:val="20"/>
          <w:szCs w:val="20"/>
        </w:rPr>
        <w:t xml:space="preserve">¿Cuál de las siguientes afirmaciones sobre la auditoría anual PLD/FT es CORRECTA conforme al Acuerdo 115/2026?</w:t>
      </w:r>
    </w:p>
    <w:p>
      <w:pPr>
        <w:spacing w:after="40"/>
      </w:pPr>
      <w:r>
        <w:rPr>
          <w:sz w:val="20"/>
          <w:szCs w:val="20"/>
        </w:rPr>
        <w:t xml:space="preserve">[ ] A) Sigue siendo una práctica recomendada, no una obligación legal</w:t>
      </w:r>
    </w:p>
    <w:p>
      <w:pPr>
        <w:spacing w:after="40"/>
      </w:pPr>
      <w:r>
        <w:rPr>
          <w:sz w:val="20"/>
          <w:szCs w:val="20"/>
        </w:rPr>
        <w:t xml:space="preserve">[ ] B) Es obligatoria desde el ejercicio 2026</w:t>
      </w:r>
    </w:p>
    <w:p>
      <w:pPr>
        <w:spacing w:after="40"/>
      </w:pPr>
      <w:r>
        <w:rPr>
          <w:sz w:val="20"/>
          <w:szCs w:val="20"/>
        </w:rPr>
        <w:t xml:space="preserve">[ ] C) Es obligatoria a partir del ejercicio 2028, y puede ser interna solo si el Grado de Riesgo de la empresa es bajo o medio</w:t>
      </w:r>
    </w:p>
    <w:p>
      <w:pPr>
        <w:spacing w:after="40"/>
      </w:pPr>
      <w:r>
        <w:rPr>
          <w:sz w:val="20"/>
          <w:szCs w:val="20"/>
        </w:rPr>
        <w:t xml:space="preserve">[ ] D) Solo aplica a empresas con más de 50 empleados</w:t>
      </w:r>
    </w:p>
    <w:p>
      <w:pPr>
        <w:pStyle w:val="Heading2"/>
        <w:spacing w:after="120" w:before="320"/>
      </w:pPr>
      <w:r>
        <w:t xml:space="preserve">Pregunta abierta (1 x 2 pts = 2 pts)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12 — Aplicación práctica</w:t>
      </w:r>
    </w:p>
    <w:p>
      <w:pPr>
        <w:spacing w:after="80"/>
      </w:pPr>
      <w:r>
        <w:rPr>
          <w:sz w:val="20"/>
          <w:szCs w:val="20"/>
        </w:rPr>
        <w:t xml:space="preserve">Un cliente persona moral llega a comprar un departamento de $1,500,000 MXN. Durante la conversación menciona que la empresa fue constituida hace 3 meses, que los socios prefieren no revelar quiénes son y que pagarían en efectivo. Describa: (a) las señales de alerta que identifica, (b) las acciones que tomaría como parte del equipo, incluyendo lo relativo a la identificación del Beneficiario Controlador, y (c) si esta operación debe continuar o no y por qué.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[Espacio para respuesta del participante]</w:t>
      </w:r>
    </w:p>
    <w:p>
      <w:pPr>
        <w:pStyle w:val="Heading2"/>
        <w:spacing w:after="120" w:before="320"/>
      </w:pPr>
      <w:r>
        <w:t xml:space="preserve">Clave de respuestas — USO EXCLUSIVO DEL INSTRUCTOR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6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Fracción V Bis — reforma julio 2025 — sin requisito de habitualidad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8,025 UMA x $117.31 = ~$941,413 MXN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Posible estructuración (smurfing) para evadir umbral Art. 32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18 Fracc. II LFPIORPI — identificación previa a la operación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Estados de cuenta son el soporte estándar para acreditar ahorros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Familiar directo de PEP aplica las mismas medidas reforzadas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$300K supera umbral identificación (1,605 UMA = $188,283) pero NO Aviso (3,210 UMA = $376,565)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Escalar al RC sin comunicar al cliente — regla anti-tipping off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en ceros es obligatorio aunque no haya operaciones (Art. 25 RCG)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Clasificación obligatoria de Riesgo alto — Art. 23 Bis 4 RCG, con independencia del puntaje EBR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Auditoría anual obligatoria desde 2028; interna solo si Riesgo bajo/medio (Art. 44 RCG)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Evaluación abierta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Mínimo 3 señales identificadas + acción de escalar + mención de identificación del Beneficiario Controlador + justificación de no operar o medidas reforzadas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 instructor: Certus Consultores │ contacto@certusconsultores.com.mx │ 999 163 1363</w:t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2026-08-11T14:40:14.382Z</dcterms:created>
  <dcterms:modified xsi:type="dcterms:W3CDTF">2026-08-11T14:40:14.382Z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