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D3 — Expediente de Registro ante el SAT (Portal en Internet / SPPLD)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70"/>
              <w:left w:type="dxa" w:w="100"/>
              <w:bottom w:type="dxa" w:w="70"/>
              <w:right w:type="dxa" w:w="100"/>
            </w:tcMar>
          </w:tcPr>
          <w:p>
            <w:r>
              <w:rPr>
                <w:b w:val="false"/>
                <w:bCs w:val="false"/>
                <w:sz w:val="18"/>
                <w:szCs w:val="18"/>
              </w:rPr>
              <w:t xml:space="preserve">Empresa:</w:t>
            </w:r>
          </w:p>
        </w:tc>
        <w:tc>
          <w:tcPr>
            <w:tcW w:type="dxa" w:w="6800"/>
            <w:tcMar>
              <w:top w:type="dxa" w:w="70"/>
              <w:left w:type="dxa" w:w="100"/>
              <w:bottom w:type="dxa" w:w="70"/>
              <w:right w:type="dxa" w:w="100"/>
            </w:tcMar>
          </w:tcPr>
          <w:p>
            <w:r>
              <w:rPr>
                <w:b w:val="false"/>
                <w:bCs w:val="false"/>
                <w:sz w:val="18"/>
                <w:szCs w:val="18"/>
              </w:rPr>
              <w:t xml:space="preserve">[EMPRESA]</w:t>
            </w:r>
          </w:p>
        </w:tc>
      </w:tr>
      <w:tr>
        <w:tc>
          <w:tcPr>
            <w:tcW w:type="dxa" w:w="2800"/>
            <w:tcMar>
              <w:top w:type="dxa" w:w="70"/>
              <w:left w:type="dxa" w:w="100"/>
              <w:bottom w:type="dxa" w:w="70"/>
              <w:right w:type="dxa" w:w="100"/>
            </w:tcMar>
          </w:tcPr>
          <w:p>
            <w:r>
              <w:rPr>
                <w:b w:val="false"/>
                <w:bCs w:val="false"/>
                <w:sz w:val="18"/>
                <w:szCs w:val="18"/>
              </w:rPr>
              <w:t xml:space="preserve">Versión:</w:t>
            </w:r>
          </w:p>
        </w:tc>
        <w:tc>
          <w:tcPr>
            <w:tcW w:type="dxa" w:w="6800"/>
            <w:tcMar>
              <w:top w:type="dxa" w:w="70"/>
              <w:left w:type="dxa" w:w="100"/>
              <w:bottom w:type="dxa" w:w="70"/>
              <w:right w:type="dxa" w:w="100"/>
            </w:tcMar>
          </w:tcPr>
          <w:p>
            <w:r>
              <w:rPr>
                <w:b w:val="false"/>
                <w:bCs w:val="false"/>
                <w:sz w:val="18"/>
                <w:szCs w:val="18"/>
              </w:rPr>
              <w:t xml:space="preserve">2.0 — Actualizada conforme al Acuerdo 115/2026 (DOF 07/08/2026)</w:t>
            </w:r>
          </w:p>
        </w:tc>
      </w:tr>
      <w:tr>
        <w:tc>
          <w:tcPr>
            <w:tcW w:type="dxa" w:w="2800"/>
            <w:tcMar>
              <w:top w:type="dxa" w:w="70"/>
              <w:left w:type="dxa" w:w="100"/>
              <w:bottom w:type="dxa" w:w="70"/>
              <w:right w:type="dxa" w:w="100"/>
            </w:tcMar>
          </w:tcPr>
          <w:p>
            <w:r>
              <w:rPr>
                <w:b w:val="false"/>
                <w:bCs w:val="false"/>
                <w:sz w:val="18"/>
                <w:szCs w:val="18"/>
              </w:rPr>
              <w:t xml:space="preserve">Elaboró:</w:t>
            </w:r>
          </w:p>
        </w:tc>
        <w:tc>
          <w:tcPr>
            <w:tcW w:type="dxa" w:w="6800"/>
            <w:tcMar>
              <w:top w:type="dxa" w:w="70"/>
              <w:left w:type="dxa" w:w="100"/>
              <w:bottom w:type="dxa" w:w="70"/>
              <w:right w:type="dxa" w:w="100"/>
            </w:tcMar>
          </w:tcPr>
          <w:p>
            <w:r>
              <w:rPr>
                <w:b w:val="false"/>
                <w:bCs w:val="false"/>
                <w:sz w:val="18"/>
                <w:szCs w:val="18"/>
              </w:rPr>
              <w:t xml:space="preserve">Certus Consultores │ Certus PLD</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II Ter ("Alta y Registro de Quienes Actúen por Medio de Fideicomisos y Otras Figuras Jurídicas", Art. 10 Sexies y 10 Sexies 1) y las precisiones al Capítulo II de las Reglas de Carácter General reformadas por el Acuerdo 115/2026 (DOF 07/08/2026). Aplica de forma inmediata a partir del 30 de noviembre de 2026, salvo lo indicado en cada sección.</w:t>
      </w:r>
    </w:p>
    <w:p>
      <w:pPr>
        <w:pStyle w:val="Heading2"/>
        <w:spacing w:after="120" w:before="320"/>
      </w:pPr>
      <w:r>
        <w:t xml:space="preserve">I. Información general del trámite</w:t>
      </w:r>
    </w:p>
    <w:p>
      <w:pPr>
        <w:spacing w:after="120"/>
      </w:pPr>
      <w:r>
        <w:rPr>
          <w:sz w:val="20"/>
          <w:szCs w:val="20"/>
        </w:rPr>
        <w:t xml:space="preserve">El alta ante el SAT a través del Portal en Internet (comúnmente identificado como SPPLD) es una obligación legal establecida en el artículo 17 de la LFPIORPI. Este expediente documenta el proceso completo de registro. La fecha de registro es determinante para acreditar la actuación espontánea y el posible beneficio del Art. 55 de la LFPIORPI (abstención de sancionar por única ocasión o reducción de hasta 50% de las multas).</w:t>
      </w:r>
    </w:p>
    <w:p>
      <w:pPr>
        <w:spacing w:after="120"/>
      </w:pPr>
      <w:r>
        <w:rPr>
          <w:sz w:val="20"/>
          <w:szCs w:val="20"/>
        </w:rPr>
        <w:t xml:space="preserve">El trámite de alta y registro se firma con la Firma Electrónica Avanzada (FIEL) de quien realiza la Actividad Vulnerable. Cuando [EMPRESA] sea persona moral, fideicomiso o actúe a través de otra figura jurídica, deberá utilizar la FIEL asociada a su propio Registro Federal de Contribuyentes — no puede utilizarse la FIEL del representante legal, de los fideicomitentes ni de los apoderados legales (Art. 4, penúltimo párrafo RCG).</w:t>
      </w:r>
    </w:p>
    <w:p>
      <w:pPr>
        <w:pStyle w:val="Heading2"/>
        <w:spacing w:after="120" w:before="320"/>
      </w:pPr>
      <w:r>
        <w:t xml:space="preserve">II. Requisitos documentales</w:t>
      </w:r>
    </w:p>
    <w:p>
      <w:pPr>
        <w:spacing w:after="80" w:before="160"/>
      </w:pPr>
      <w:r>
        <w:rPr>
          <w:b/>
          <w:bCs/>
          <w:color w:val="B08D57"/>
          <w:sz w:val="21"/>
          <w:szCs w:val="21"/>
        </w:rPr>
        <w:t xml:space="preserve">2.1 Documentos corporativos</w:t>
      </w:r>
    </w:p>
    <w:p>
      <w:pPr>
        <w:pStyle w:val="ListParagraph"/>
        <w:numPr>
          <w:ilvl w:val="0"/>
          <w:numId w:val="1"/>
        </w:numPr>
        <w:spacing w:after="60"/>
      </w:pPr>
      <w:r>
        <w:rPr>
          <w:sz w:val="20"/>
          <w:szCs w:val="20"/>
        </w:rPr>
        <w:t xml:space="preserve">Acta constitutiva (copia simple + copia certificada)</w:t>
      </w:r>
    </w:p>
    <w:p>
      <w:pPr>
        <w:pStyle w:val="ListParagraph"/>
        <w:numPr>
          <w:ilvl w:val="0"/>
          <w:numId w:val="1"/>
        </w:numPr>
        <w:spacing w:after="60"/>
      </w:pPr>
      <w:r>
        <w:rPr>
          <w:sz w:val="20"/>
          <w:szCs w:val="20"/>
        </w:rPr>
        <w:t xml:space="preserve">Poder notarial del Representante Legal vigente</w:t>
      </w:r>
    </w:p>
    <w:p>
      <w:pPr>
        <w:pStyle w:val="ListParagraph"/>
        <w:numPr>
          <w:ilvl w:val="0"/>
          <w:numId w:val="1"/>
        </w:numPr>
        <w:spacing w:after="60"/>
      </w:pPr>
      <w:r>
        <w:rPr>
          <w:sz w:val="20"/>
          <w:szCs w:val="20"/>
        </w:rPr>
        <w:t xml:space="preserve">Identificación oficial del Representante Legal (INE/IFE o pasaporte)</w:t>
      </w:r>
    </w:p>
    <w:p>
      <w:pPr>
        <w:pStyle w:val="ListParagraph"/>
        <w:numPr>
          <w:ilvl w:val="0"/>
          <w:numId w:val="1"/>
        </w:numPr>
        <w:spacing w:after="60"/>
      </w:pPr>
      <w:r>
        <w:rPr>
          <w:sz w:val="20"/>
          <w:szCs w:val="20"/>
        </w:rPr>
        <w:t xml:space="preserve">Comprobante de domicilio fiscal (no mayor a 3 meses)</w:t>
      </w:r>
    </w:p>
    <w:p>
      <w:pPr>
        <w:pStyle w:val="ListParagraph"/>
        <w:numPr>
          <w:ilvl w:val="0"/>
          <w:numId w:val="1"/>
        </w:numPr>
        <w:spacing w:after="60"/>
      </w:pPr>
      <w:r>
        <w:rPr>
          <w:sz w:val="20"/>
          <w:szCs w:val="20"/>
        </w:rPr>
        <w:t xml:space="preserve">Constancia de situación fiscal vigente (RFC)</w:t>
      </w:r>
    </w:p>
    <w:p>
      <w:pPr>
        <w:spacing w:after="80" w:before="160"/>
      </w:pPr>
      <w:r>
        <w:rPr>
          <w:b/>
          <w:bCs/>
          <w:color w:val="B08D57"/>
          <w:sz w:val="21"/>
          <w:szCs w:val="21"/>
        </w:rPr>
        <w:t xml:space="preserve">2.2 Documentos del Representante de Cumplimiento</w:t>
      </w:r>
    </w:p>
    <w:p>
      <w:pPr>
        <w:pStyle w:val="ListParagraph"/>
        <w:numPr>
          <w:ilvl w:val="0"/>
          <w:numId w:val="1"/>
        </w:numPr>
        <w:spacing w:after="60"/>
      </w:pPr>
      <w:r>
        <w:rPr>
          <w:sz w:val="20"/>
          <w:szCs w:val="20"/>
        </w:rPr>
        <w:t xml:space="preserve">Identificación oficial vigente</w:t>
      </w:r>
    </w:p>
    <w:p>
      <w:pPr>
        <w:pStyle w:val="ListParagraph"/>
        <w:numPr>
          <w:ilvl w:val="0"/>
          <w:numId w:val="1"/>
        </w:numPr>
        <w:spacing w:after="60"/>
      </w:pPr>
      <w:r>
        <w:rPr>
          <w:sz w:val="20"/>
          <w:szCs w:val="20"/>
        </w:rPr>
        <w:t xml:space="preserve">CURP</w:t>
      </w:r>
    </w:p>
    <w:p>
      <w:pPr>
        <w:pStyle w:val="ListParagraph"/>
        <w:numPr>
          <w:ilvl w:val="0"/>
          <w:numId w:val="1"/>
        </w:numPr>
        <w:spacing w:after="60"/>
      </w:pPr>
      <w:r>
        <w:rPr>
          <w:sz w:val="20"/>
          <w:szCs w:val="20"/>
        </w:rPr>
        <w:t xml:space="preserve">Acta de Designación (Documento D2 del Programa Certus PLD)</w:t>
      </w:r>
    </w:p>
    <w:p>
      <w:pPr>
        <w:pStyle w:val="ListParagraph"/>
        <w:numPr>
          <w:ilvl w:val="0"/>
          <w:numId w:val="1"/>
        </w:numPr>
        <w:spacing w:after="60"/>
      </w:pPr>
      <w:r>
        <w:rPr>
          <w:sz w:val="20"/>
          <w:szCs w:val="20"/>
        </w:rPr>
        <w:t xml:space="preserve">Comprobante de domicilio personal</w:t>
      </w:r>
    </w:p>
    <w:p>
      <w:pPr>
        <w:spacing w:after="160" w:before="60"/>
      </w:pPr>
      <w:r>
        <w:rPr>
          <w:i/>
          <w:iCs/>
          <w:color w:val="666666"/>
          <w:sz w:val="19"/>
          <w:szCs w:val="19"/>
        </w:rPr>
        <w:t xml:space="preserve">El Representante Encargado de Cumplimiento debe ser, en todo caso, una persona física (Art. 10, último párrafo RCG).</w:t>
      </w:r>
    </w:p>
    <w:p>
      <w:pPr>
        <w:spacing w:after="80" w:before="160"/>
      </w:pPr>
      <w:r>
        <w:rPr>
          <w:b/>
          <w:bCs/>
          <w:color w:val="B08D57"/>
          <w:sz w:val="21"/>
          <w:szCs w:val="21"/>
        </w:rPr>
        <w:t xml:space="preserve">2.3 Documentos de la actividad regulada</w:t>
      </w:r>
    </w:p>
    <w:p>
      <w:pPr>
        <w:pStyle w:val="ListParagraph"/>
        <w:numPr>
          <w:ilvl w:val="0"/>
          <w:numId w:val="1"/>
        </w:numPr>
        <w:spacing w:after="60"/>
      </w:pPr>
      <w:r>
        <w:rPr>
          <w:sz w:val="20"/>
          <w:szCs w:val="20"/>
        </w:rPr>
        <w:t xml:space="preserve">Descripción de actividades inmobiliarias (compraventa, desarrollo, arrendamiento)</w:t>
      </w:r>
    </w:p>
    <w:p>
      <w:pPr>
        <w:pStyle w:val="ListParagraph"/>
        <w:numPr>
          <w:ilvl w:val="0"/>
          <w:numId w:val="1"/>
        </w:numPr>
        <w:spacing w:after="60"/>
      </w:pPr>
      <w:r>
        <w:rPr>
          <w:sz w:val="20"/>
          <w:szCs w:val="20"/>
        </w:rPr>
        <w:t xml:space="preserve">Declaración de las fracciones LFPIORPI bajo las que opera (V, V Bis, XV)</w:t>
      </w:r>
    </w:p>
    <w:p>
      <w:pPr>
        <w:spacing w:after="80" w:before="160"/>
      </w:pPr>
      <w:r>
        <w:rPr>
          <w:b/>
          <w:bCs/>
          <w:color w:val="B08D57"/>
          <w:sz w:val="21"/>
          <w:szCs w:val="21"/>
        </w:rPr>
        <w:t xml:space="preserve">2.4 Si [EMPRESA] actúa a través de un fideicomiso (Anexo 2 Bis RCG)</w:t>
      </w:r>
    </w:p>
    <w:p>
      <w:pPr>
        <w:pStyle w:val="ListParagraph"/>
        <w:numPr>
          <w:ilvl w:val="0"/>
          <w:numId w:val="1"/>
        </w:numPr>
        <w:spacing w:after="60"/>
      </w:pPr>
      <w:r>
        <w:rPr>
          <w:sz w:val="20"/>
          <w:szCs w:val="20"/>
        </w:rPr>
        <w:t xml:space="preserve">Número, identificador o referencia del fideicomiso, fecha de constitución y RFC</w:t>
      </w:r>
    </w:p>
    <w:p>
      <w:pPr>
        <w:pStyle w:val="ListParagraph"/>
        <w:numPr>
          <w:ilvl w:val="0"/>
          <w:numId w:val="1"/>
        </w:numPr>
        <w:spacing w:after="60"/>
      </w:pPr>
      <w:r>
        <w:rPr>
          <w:sz w:val="20"/>
          <w:szCs w:val="20"/>
        </w:rPr>
        <w:t xml:space="preserve">Datos del fiduciario (denominación, RFC) y del delegado fiduciario persona física</w:t>
      </w:r>
    </w:p>
    <w:p>
      <w:pPr>
        <w:pStyle w:val="ListParagraph"/>
        <w:numPr>
          <w:ilvl w:val="0"/>
          <w:numId w:val="1"/>
        </w:numPr>
        <w:spacing w:after="60"/>
      </w:pPr>
      <w:r>
        <w:rPr>
          <w:sz w:val="20"/>
          <w:szCs w:val="20"/>
        </w:rPr>
        <w:t xml:space="preserve">Datos de los fideicomitentes (persona física, moral o fideicomiso)</w:t>
      </w:r>
    </w:p>
    <w:p>
      <w:pPr>
        <w:pStyle w:val="ListParagraph"/>
        <w:numPr>
          <w:ilvl w:val="0"/>
          <w:numId w:val="1"/>
        </w:numPr>
        <w:spacing w:after="60"/>
      </w:pPr>
      <w:r>
        <w:rPr>
          <w:sz w:val="20"/>
          <w:szCs w:val="20"/>
        </w:rPr>
        <w:t xml:space="preserve">Datos de los fideicomisarios, y si están determinados</w:t>
      </w:r>
    </w:p>
    <w:p>
      <w:pPr>
        <w:spacing w:after="80" w:before="160"/>
      </w:pPr>
      <w:r>
        <w:rPr>
          <w:b/>
          <w:bCs/>
          <w:color w:val="B08D57"/>
          <w:sz w:val="21"/>
          <w:szCs w:val="21"/>
        </w:rPr>
        <w:t xml:space="preserve">2.5 Si [EMPRESA] actúa a través de otra figura jurídica, p. ej. Asociación en Participación (Anexo 2 Ter RCG)</w:t>
      </w:r>
    </w:p>
    <w:p>
      <w:pPr>
        <w:pStyle w:val="ListParagraph"/>
        <w:numPr>
          <w:ilvl w:val="0"/>
          <w:numId w:val="1"/>
        </w:numPr>
        <w:spacing w:after="60"/>
      </w:pPr>
      <w:r>
        <w:rPr>
          <w:sz w:val="20"/>
          <w:szCs w:val="20"/>
        </w:rPr>
        <w:t xml:space="preserve">Número o referencia, tipo y descripción de la figura jurídica, fecha de creación y RFC</w:t>
      </w:r>
    </w:p>
    <w:p>
      <w:pPr>
        <w:pStyle w:val="ListParagraph"/>
        <w:numPr>
          <w:ilvl w:val="0"/>
          <w:numId w:val="1"/>
        </w:numPr>
        <w:spacing w:after="60"/>
      </w:pPr>
      <w:r>
        <w:rPr>
          <w:sz w:val="20"/>
          <w:szCs w:val="20"/>
        </w:rPr>
        <w:t xml:space="preserve">Datos de cada integrante (asociante, asociado u otro), persona física o moral</w:t>
      </w:r>
    </w:p>
    <w:p>
      <w:pPr>
        <w:pStyle w:val="ListParagraph"/>
        <w:numPr>
          <w:ilvl w:val="0"/>
          <w:numId w:val="1"/>
        </w:numPr>
        <w:spacing w:after="60"/>
      </w:pPr>
      <w:r>
        <w:rPr>
          <w:sz w:val="20"/>
          <w:szCs w:val="20"/>
        </w:rPr>
        <w:t xml:space="preserve">Cuando se trate de Asociación en Participación, el asociante es responsable del trámite de alta y registro, utilizando la FIEL asociada al RFC de la Asociación (Art. 10 Sexies 1 RCG)</w:t>
      </w:r>
    </w:p>
    <w:p>
      <w:pPr>
        <w:spacing w:after="160" w:before="60"/>
      </w:pPr>
      <w:r>
        <w:rPr>
          <w:i/>
          <w:iCs/>
          <w:color w:val="666666"/>
          <w:sz w:val="19"/>
          <w:szCs w:val="19"/>
        </w:rPr>
        <w:t xml:space="preserve">Las Secciones 2.4 y 2.5 son de nueva incorporación conforme al Capítulo II Ter de las RCG. Aplican con frecuencia a desarrollos inmobiliarios estructurados mediante fideicomiso.</w:t>
      </w:r>
    </w:p>
    <w:p>
      <w:pPr>
        <w:pStyle w:val="Heading2"/>
        <w:spacing w:after="120" w:before="320"/>
      </w:pPr>
      <w:r>
        <w:t xml:space="preserve">III. Proceso de registro paso a paso</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F3864" w:val="clear"/>
            <w:tcMar>
              <w:top w:type="dxa" w:w="70"/>
              <w:left w:type="dxa" w:w="100"/>
              <w:bottom w:type="dxa" w:w="70"/>
              <w:right w:type="dxa" w:w="100"/>
            </w:tcMar>
          </w:tcPr>
          <w:p>
            <w:r>
              <w:rPr>
                <w:b/>
                <w:bCs/>
                <w:color w:val="FFFFFF"/>
                <w:sz w:val="18"/>
                <w:szCs w:val="18"/>
              </w:rPr>
              <w:t xml:space="preserve">Paso</w:t>
            </w:r>
          </w:p>
        </w:tc>
        <w:tc>
          <w:tcPr>
            <w:tcW w:type="dxa" w:w="4200"/>
            <w:shd w:fill="1F3864" w:val="clear"/>
            <w:tcMar>
              <w:top w:type="dxa" w:w="70"/>
              <w:left w:type="dxa" w:w="100"/>
              <w:bottom w:type="dxa" w:w="70"/>
              <w:right w:type="dxa" w:w="100"/>
            </w:tcMar>
          </w:tcPr>
          <w:p>
            <w:r>
              <w:rPr>
                <w:b/>
                <w:bCs/>
                <w:color w:val="FFFFFF"/>
                <w:sz w:val="18"/>
                <w:szCs w:val="18"/>
              </w:rPr>
              <w:t xml:space="preserve">Acción</w:t>
            </w:r>
          </w:p>
        </w:tc>
        <w:tc>
          <w:tcPr>
            <w:tcW w:type="dxa" w:w="1800"/>
            <w:shd w:fill="1F3864" w:val="clear"/>
            <w:tcMar>
              <w:top w:type="dxa" w:w="70"/>
              <w:left w:type="dxa" w:w="100"/>
              <w:bottom w:type="dxa" w:w="70"/>
              <w:right w:type="dxa" w:w="100"/>
            </w:tcMar>
          </w:tcPr>
          <w:p>
            <w:r>
              <w:rPr>
                <w:b/>
                <w:bCs/>
                <w:color w:val="FFFFFF"/>
                <w:sz w:val="18"/>
                <w:szCs w:val="18"/>
              </w:rPr>
              <w:t xml:space="preserve">Responsable</w:t>
            </w:r>
          </w:p>
        </w:tc>
        <w:tc>
          <w:tcPr>
            <w:tcW w:type="dxa" w:w="1600"/>
            <w:shd w:fill="1F3864" w:val="clear"/>
            <w:tcMar>
              <w:top w:type="dxa" w:w="70"/>
              <w:left w:type="dxa" w:w="100"/>
              <w:bottom w:type="dxa" w:w="70"/>
              <w:right w:type="dxa" w:w="100"/>
            </w:tcMar>
          </w:tcPr>
          <w:p>
            <w:r>
              <w:rPr>
                <w:b/>
                <w:bCs/>
                <w:color w:val="FFFFFF"/>
                <w:sz w:val="18"/>
                <w:szCs w:val="18"/>
              </w:rPr>
              <w:t xml:space="preserve">Plazo</w:t>
            </w:r>
          </w:p>
        </w:tc>
      </w:tr>
      <w:tr>
        <w:tc>
          <w:tcPr>
            <w:tcW w:type="dxa" w:w="500"/>
            <w:tcMar>
              <w:top w:type="dxa" w:w="70"/>
              <w:left w:type="dxa" w:w="100"/>
              <w:bottom w:type="dxa" w:w="70"/>
              <w:right w:type="dxa" w:w="100"/>
            </w:tcMar>
          </w:tcPr>
          <w:p>
            <w:r>
              <w:rPr>
                <w:b w:val="false"/>
                <w:bCs w:val="false"/>
                <w:sz w:val="18"/>
                <w:szCs w:val="18"/>
              </w:rPr>
              <w:t xml:space="preserve">1</w:t>
            </w:r>
          </w:p>
        </w:tc>
        <w:tc>
          <w:tcPr>
            <w:tcW w:type="dxa" w:w="4200"/>
            <w:tcMar>
              <w:top w:type="dxa" w:w="70"/>
              <w:left w:type="dxa" w:w="100"/>
              <w:bottom w:type="dxa" w:w="70"/>
              <w:right w:type="dxa" w:w="100"/>
            </w:tcMar>
          </w:tcPr>
          <w:p>
            <w:r>
              <w:rPr>
                <w:b w:val="false"/>
                <w:bCs w:val="false"/>
                <w:sz w:val="18"/>
                <w:szCs w:val="18"/>
              </w:rPr>
              <w:t xml:space="preserve">Ingresar al Portal en Internet: https://ppld.sat.gob.mx con la FIEL asociada al RFC propio de la empresa (no la del representante legal)</w:t>
            </w:r>
          </w:p>
        </w:tc>
        <w:tc>
          <w:tcPr>
            <w:tcW w:type="dxa" w:w="1800"/>
            <w:tcMar>
              <w:top w:type="dxa" w:w="70"/>
              <w:left w:type="dxa" w:w="100"/>
              <w:bottom w:type="dxa" w:w="70"/>
              <w:right w:type="dxa" w:w="100"/>
            </w:tcMar>
          </w:tcPr>
          <w:p>
            <w:r>
              <w:rPr>
                <w:b w:val="false"/>
                <w:bCs w:val="false"/>
                <w:sz w:val="18"/>
                <w:szCs w:val="18"/>
              </w:rPr>
              <w:t xml:space="preserve">Repr. Legal</w:t>
            </w:r>
          </w:p>
        </w:tc>
        <w:tc>
          <w:tcPr>
            <w:tcW w:type="dxa" w:w="1600"/>
            <w:tcMar>
              <w:top w:type="dxa" w:w="70"/>
              <w:left w:type="dxa" w:w="100"/>
              <w:bottom w:type="dxa" w:w="70"/>
              <w:right w:type="dxa" w:w="100"/>
            </w:tcMar>
          </w:tcPr>
          <w:p>
            <w:r>
              <w:rPr>
                <w:b w:val="false"/>
                <w:bCs w:val="false"/>
                <w:sz w:val="18"/>
                <w:szCs w:val="18"/>
              </w:rPr>
              <w:t xml:space="preserve">Día 1</w:t>
            </w:r>
          </w:p>
        </w:tc>
      </w:tr>
      <w:tr>
        <w:tc>
          <w:tcPr>
            <w:tcW w:type="dxa" w:w="500"/>
            <w:tcMar>
              <w:top w:type="dxa" w:w="70"/>
              <w:left w:type="dxa" w:w="100"/>
              <w:bottom w:type="dxa" w:w="70"/>
              <w:right w:type="dxa" w:w="100"/>
            </w:tcMar>
          </w:tcPr>
          <w:p>
            <w:r>
              <w:rPr>
                <w:b w:val="false"/>
                <w:bCs w:val="false"/>
                <w:sz w:val="18"/>
                <w:szCs w:val="18"/>
              </w:rPr>
              <w:t xml:space="preserve">2</w:t>
            </w:r>
          </w:p>
        </w:tc>
        <w:tc>
          <w:tcPr>
            <w:tcW w:type="dxa" w:w="4200"/>
            <w:tcMar>
              <w:top w:type="dxa" w:w="70"/>
              <w:left w:type="dxa" w:w="100"/>
              <w:bottom w:type="dxa" w:w="70"/>
              <w:right w:type="dxa" w:w="100"/>
            </w:tcMar>
          </w:tcPr>
          <w:p>
            <w:r>
              <w:rPr>
                <w:b w:val="false"/>
                <w:bCs w:val="false"/>
                <w:sz w:val="18"/>
                <w:szCs w:val="18"/>
              </w:rPr>
              <w:t xml:space="preserve">Seleccionar "Alta de Sujeto Obligado" — Actividad: Inmobiliaria. Si aplica, seleccionar la modalidad de fideicomiso u otra figura jurídica (Anexos 2 Bis / 2 Ter)</w:t>
            </w:r>
          </w:p>
        </w:tc>
        <w:tc>
          <w:tcPr>
            <w:tcW w:type="dxa" w:w="1800"/>
            <w:tcMar>
              <w:top w:type="dxa" w:w="70"/>
              <w:left w:type="dxa" w:w="100"/>
              <w:bottom w:type="dxa" w:w="70"/>
              <w:right w:type="dxa" w:w="100"/>
            </w:tcMar>
          </w:tcPr>
          <w:p>
            <w:r>
              <w:rPr>
                <w:b w:val="false"/>
                <w:bCs w:val="false"/>
                <w:sz w:val="18"/>
                <w:szCs w:val="18"/>
              </w:rPr>
              <w:t xml:space="preserve">Repr. Legal</w:t>
            </w:r>
          </w:p>
        </w:tc>
        <w:tc>
          <w:tcPr>
            <w:tcW w:type="dxa" w:w="1600"/>
            <w:tcMar>
              <w:top w:type="dxa" w:w="70"/>
              <w:left w:type="dxa" w:w="100"/>
              <w:bottom w:type="dxa" w:w="70"/>
              <w:right w:type="dxa" w:w="100"/>
            </w:tcMar>
          </w:tcPr>
          <w:p>
            <w:r>
              <w:rPr>
                <w:b w:val="false"/>
                <w:bCs w:val="false"/>
                <w:sz w:val="18"/>
                <w:szCs w:val="18"/>
              </w:rPr>
              <w:t xml:space="preserve">Día 1</w:t>
            </w:r>
          </w:p>
        </w:tc>
      </w:tr>
      <w:tr>
        <w:tc>
          <w:tcPr>
            <w:tcW w:type="dxa" w:w="500"/>
            <w:tcMar>
              <w:top w:type="dxa" w:w="70"/>
              <w:left w:type="dxa" w:w="100"/>
              <w:bottom w:type="dxa" w:w="70"/>
              <w:right w:type="dxa" w:w="100"/>
            </w:tcMar>
          </w:tcPr>
          <w:p>
            <w:r>
              <w:rPr>
                <w:b w:val="false"/>
                <w:bCs w:val="false"/>
                <w:sz w:val="18"/>
                <w:szCs w:val="18"/>
              </w:rPr>
              <w:t xml:space="preserve">3</w:t>
            </w:r>
          </w:p>
        </w:tc>
        <w:tc>
          <w:tcPr>
            <w:tcW w:type="dxa" w:w="4200"/>
            <w:tcMar>
              <w:top w:type="dxa" w:w="70"/>
              <w:left w:type="dxa" w:w="100"/>
              <w:bottom w:type="dxa" w:w="70"/>
              <w:right w:type="dxa" w:w="100"/>
            </w:tcMar>
          </w:tcPr>
          <w:p>
            <w:r>
              <w:rPr>
                <w:b w:val="false"/>
                <w:bCs w:val="false"/>
                <w:sz w:val="18"/>
                <w:szCs w:val="18"/>
              </w:rPr>
              <w:t xml:space="preserve">Capturar datos de la empresa y actividades LFPIORPI (Fracc. V, V Bis, XV)</w:t>
            </w:r>
          </w:p>
        </w:tc>
        <w:tc>
          <w:tcPr>
            <w:tcW w:type="dxa" w:w="1800"/>
            <w:tcMar>
              <w:top w:type="dxa" w:w="70"/>
              <w:left w:type="dxa" w:w="100"/>
              <w:bottom w:type="dxa" w:w="70"/>
              <w:right w:type="dxa" w:w="100"/>
            </w:tcMar>
          </w:tcPr>
          <w:p>
            <w:r>
              <w:rPr>
                <w:b w:val="false"/>
                <w:bCs w:val="false"/>
                <w:sz w:val="18"/>
                <w:szCs w:val="18"/>
              </w:rPr>
              <w:t xml:space="preserve">Repr. Cumpl.</w:t>
            </w:r>
          </w:p>
        </w:tc>
        <w:tc>
          <w:tcPr>
            <w:tcW w:type="dxa" w:w="1600"/>
            <w:tcMar>
              <w:top w:type="dxa" w:w="70"/>
              <w:left w:type="dxa" w:w="100"/>
              <w:bottom w:type="dxa" w:w="70"/>
              <w:right w:type="dxa" w:w="100"/>
            </w:tcMar>
          </w:tcPr>
          <w:p>
            <w:r>
              <w:rPr>
                <w:b w:val="false"/>
                <w:bCs w:val="false"/>
                <w:sz w:val="18"/>
                <w:szCs w:val="18"/>
              </w:rPr>
              <w:t xml:space="preserve">Día 1</w:t>
            </w:r>
          </w:p>
        </w:tc>
      </w:tr>
      <w:tr>
        <w:tc>
          <w:tcPr>
            <w:tcW w:type="dxa" w:w="500"/>
            <w:tcMar>
              <w:top w:type="dxa" w:w="70"/>
              <w:left w:type="dxa" w:w="100"/>
              <w:bottom w:type="dxa" w:w="70"/>
              <w:right w:type="dxa" w:w="100"/>
            </w:tcMar>
          </w:tcPr>
          <w:p>
            <w:r>
              <w:rPr>
                <w:b w:val="false"/>
                <w:bCs w:val="false"/>
                <w:sz w:val="18"/>
                <w:szCs w:val="18"/>
              </w:rPr>
              <w:t xml:space="preserve">4</w:t>
            </w:r>
          </w:p>
        </w:tc>
        <w:tc>
          <w:tcPr>
            <w:tcW w:type="dxa" w:w="4200"/>
            <w:tcMar>
              <w:top w:type="dxa" w:w="70"/>
              <w:left w:type="dxa" w:w="100"/>
              <w:bottom w:type="dxa" w:w="70"/>
              <w:right w:type="dxa" w:w="100"/>
            </w:tcMar>
          </w:tcPr>
          <w:p>
            <w:r>
              <w:rPr>
                <w:b w:val="false"/>
                <w:bCs w:val="false"/>
                <w:sz w:val="18"/>
                <w:szCs w:val="18"/>
              </w:rPr>
              <w:t xml:space="preserve">Registrar datos del Representante de Cumplimiento (persona física)</w:t>
            </w:r>
          </w:p>
        </w:tc>
        <w:tc>
          <w:tcPr>
            <w:tcW w:type="dxa" w:w="1800"/>
            <w:tcMar>
              <w:top w:type="dxa" w:w="70"/>
              <w:left w:type="dxa" w:w="100"/>
              <w:bottom w:type="dxa" w:w="70"/>
              <w:right w:type="dxa" w:w="100"/>
            </w:tcMar>
          </w:tcPr>
          <w:p>
            <w:r>
              <w:rPr>
                <w:b w:val="false"/>
                <w:bCs w:val="false"/>
                <w:sz w:val="18"/>
                <w:szCs w:val="18"/>
              </w:rPr>
              <w:t xml:space="preserve">Repr. Cumpl.</w:t>
            </w:r>
          </w:p>
        </w:tc>
        <w:tc>
          <w:tcPr>
            <w:tcW w:type="dxa" w:w="1600"/>
            <w:tcMar>
              <w:top w:type="dxa" w:w="70"/>
              <w:left w:type="dxa" w:w="100"/>
              <w:bottom w:type="dxa" w:w="70"/>
              <w:right w:type="dxa" w:w="100"/>
            </w:tcMar>
          </w:tcPr>
          <w:p>
            <w:r>
              <w:rPr>
                <w:b w:val="false"/>
                <w:bCs w:val="false"/>
                <w:sz w:val="18"/>
                <w:szCs w:val="18"/>
              </w:rPr>
              <w:t xml:space="preserve">Día 1</w:t>
            </w:r>
          </w:p>
        </w:tc>
      </w:tr>
      <w:tr>
        <w:tc>
          <w:tcPr>
            <w:tcW w:type="dxa" w:w="500"/>
            <w:tcMar>
              <w:top w:type="dxa" w:w="70"/>
              <w:left w:type="dxa" w:w="100"/>
              <w:bottom w:type="dxa" w:w="70"/>
              <w:right w:type="dxa" w:w="100"/>
            </w:tcMar>
          </w:tcPr>
          <w:p>
            <w:r>
              <w:rPr>
                <w:b w:val="false"/>
                <w:bCs w:val="false"/>
                <w:sz w:val="18"/>
                <w:szCs w:val="18"/>
              </w:rPr>
              <w:t xml:space="preserve">5</w:t>
            </w:r>
          </w:p>
        </w:tc>
        <w:tc>
          <w:tcPr>
            <w:tcW w:type="dxa" w:w="4200"/>
            <w:tcMar>
              <w:top w:type="dxa" w:w="70"/>
              <w:left w:type="dxa" w:w="100"/>
              <w:bottom w:type="dxa" w:w="70"/>
              <w:right w:type="dxa" w:w="100"/>
            </w:tcMar>
          </w:tcPr>
          <w:p>
            <w:r>
              <w:rPr>
                <w:b w:val="false"/>
                <w:bCs w:val="false"/>
                <w:sz w:val="18"/>
                <w:szCs w:val="18"/>
              </w:rPr>
              <w:t xml:space="preserve">Adjuntar documentación digitalizada (PDF, máx. 4MB por archivo)</w:t>
            </w:r>
          </w:p>
        </w:tc>
        <w:tc>
          <w:tcPr>
            <w:tcW w:type="dxa" w:w="1800"/>
            <w:tcMar>
              <w:top w:type="dxa" w:w="70"/>
              <w:left w:type="dxa" w:w="100"/>
              <w:bottom w:type="dxa" w:w="70"/>
              <w:right w:type="dxa" w:w="100"/>
            </w:tcMar>
          </w:tcPr>
          <w:p>
            <w:r>
              <w:rPr>
                <w:b w:val="false"/>
                <w:bCs w:val="false"/>
                <w:sz w:val="18"/>
                <w:szCs w:val="18"/>
              </w:rPr>
              <w:t xml:space="preserve">Repr. Cumpl.</w:t>
            </w:r>
          </w:p>
        </w:tc>
        <w:tc>
          <w:tcPr>
            <w:tcW w:type="dxa" w:w="1600"/>
            <w:tcMar>
              <w:top w:type="dxa" w:w="70"/>
              <w:left w:type="dxa" w:w="100"/>
              <w:bottom w:type="dxa" w:w="70"/>
              <w:right w:type="dxa" w:w="100"/>
            </w:tcMar>
          </w:tcPr>
          <w:p>
            <w:r>
              <w:rPr>
                <w:b w:val="false"/>
                <w:bCs w:val="false"/>
                <w:sz w:val="18"/>
                <w:szCs w:val="18"/>
              </w:rPr>
              <w:t xml:space="preserve">Día 1-2</w:t>
            </w:r>
          </w:p>
        </w:tc>
      </w:tr>
      <w:tr>
        <w:tc>
          <w:tcPr>
            <w:tcW w:type="dxa" w:w="500"/>
            <w:tcMar>
              <w:top w:type="dxa" w:w="70"/>
              <w:left w:type="dxa" w:w="100"/>
              <w:bottom w:type="dxa" w:w="70"/>
              <w:right w:type="dxa" w:w="100"/>
            </w:tcMar>
          </w:tcPr>
          <w:p>
            <w:r>
              <w:rPr>
                <w:b w:val="false"/>
                <w:bCs w:val="false"/>
                <w:sz w:val="18"/>
                <w:szCs w:val="18"/>
              </w:rPr>
              <w:t xml:space="preserve">6</w:t>
            </w:r>
          </w:p>
        </w:tc>
        <w:tc>
          <w:tcPr>
            <w:tcW w:type="dxa" w:w="4200"/>
            <w:tcMar>
              <w:top w:type="dxa" w:w="70"/>
              <w:left w:type="dxa" w:w="100"/>
              <w:bottom w:type="dxa" w:w="70"/>
              <w:right w:type="dxa" w:w="100"/>
            </w:tcMar>
          </w:tcPr>
          <w:p>
            <w:r>
              <w:rPr>
                <w:b w:val="false"/>
                <w:bCs w:val="false"/>
                <w:sz w:val="18"/>
                <w:szCs w:val="18"/>
              </w:rPr>
              <w:t xml:space="preserve">Enviar solicitud y obtener acuse de recibo con sello digital</w:t>
            </w:r>
          </w:p>
        </w:tc>
        <w:tc>
          <w:tcPr>
            <w:tcW w:type="dxa" w:w="1800"/>
            <w:tcMar>
              <w:top w:type="dxa" w:w="70"/>
              <w:left w:type="dxa" w:w="100"/>
              <w:bottom w:type="dxa" w:w="70"/>
              <w:right w:type="dxa" w:w="100"/>
            </w:tcMar>
          </w:tcPr>
          <w:p>
            <w:r>
              <w:rPr>
                <w:b w:val="false"/>
                <w:bCs w:val="false"/>
                <w:sz w:val="18"/>
                <w:szCs w:val="18"/>
              </w:rPr>
              <w:t xml:space="preserve">Repr. Cumpl.</w:t>
            </w:r>
          </w:p>
        </w:tc>
        <w:tc>
          <w:tcPr>
            <w:tcW w:type="dxa" w:w="1600"/>
            <w:tcMar>
              <w:top w:type="dxa" w:w="70"/>
              <w:left w:type="dxa" w:w="100"/>
              <w:bottom w:type="dxa" w:w="70"/>
              <w:right w:type="dxa" w:w="100"/>
            </w:tcMar>
          </w:tcPr>
          <w:p>
            <w:r>
              <w:rPr>
                <w:b w:val="false"/>
                <w:bCs w:val="false"/>
                <w:sz w:val="18"/>
                <w:szCs w:val="18"/>
              </w:rPr>
              <w:t xml:space="preserve">Día 2</w:t>
            </w:r>
          </w:p>
        </w:tc>
      </w:tr>
      <w:tr>
        <w:tc>
          <w:tcPr>
            <w:tcW w:type="dxa" w:w="500"/>
            <w:tcMar>
              <w:top w:type="dxa" w:w="70"/>
              <w:left w:type="dxa" w:w="100"/>
              <w:bottom w:type="dxa" w:w="70"/>
              <w:right w:type="dxa" w:w="100"/>
            </w:tcMar>
          </w:tcPr>
          <w:p>
            <w:r>
              <w:rPr>
                <w:b w:val="false"/>
                <w:bCs w:val="false"/>
                <w:sz w:val="18"/>
                <w:szCs w:val="18"/>
              </w:rPr>
              <w:t xml:space="preserve">7</w:t>
            </w:r>
          </w:p>
        </w:tc>
        <w:tc>
          <w:tcPr>
            <w:tcW w:type="dxa" w:w="4200"/>
            <w:tcMar>
              <w:top w:type="dxa" w:w="70"/>
              <w:left w:type="dxa" w:w="100"/>
              <w:bottom w:type="dxa" w:w="70"/>
              <w:right w:type="dxa" w:w="100"/>
            </w:tcMar>
          </w:tcPr>
          <w:p>
            <w:r>
              <w:rPr>
                <w:b w:val="false"/>
                <w:bCs w:val="false"/>
                <w:sz w:val="18"/>
                <w:szCs w:val="18"/>
              </w:rPr>
              <w:t xml:space="preserve">Recibir número de registro asignado por el SAT (3-5 días hábiles)</w:t>
            </w:r>
          </w:p>
        </w:tc>
        <w:tc>
          <w:tcPr>
            <w:tcW w:type="dxa" w:w="1800"/>
            <w:tcMar>
              <w:top w:type="dxa" w:w="70"/>
              <w:left w:type="dxa" w:w="100"/>
              <w:bottom w:type="dxa" w:w="70"/>
              <w:right w:type="dxa" w:w="100"/>
            </w:tcMar>
          </w:tcPr>
          <w:p>
            <w:r>
              <w:rPr>
                <w:b w:val="false"/>
                <w:bCs w:val="false"/>
                <w:sz w:val="18"/>
                <w:szCs w:val="18"/>
              </w:rPr>
              <w:t xml:space="preserve">SAT</w:t>
            </w:r>
          </w:p>
        </w:tc>
        <w:tc>
          <w:tcPr>
            <w:tcW w:type="dxa" w:w="1600"/>
            <w:tcMar>
              <w:top w:type="dxa" w:w="70"/>
              <w:left w:type="dxa" w:w="100"/>
              <w:bottom w:type="dxa" w:w="70"/>
              <w:right w:type="dxa" w:w="100"/>
            </w:tcMar>
          </w:tcPr>
          <w:p>
            <w:r>
              <w:rPr>
                <w:b w:val="false"/>
                <w:bCs w:val="false"/>
                <w:sz w:val="18"/>
                <w:szCs w:val="18"/>
              </w:rPr>
              <w:t xml:space="preserve">Día 5-7</w:t>
            </w:r>
          </w:p>
        </w:tc>
      </w:tr>
      <w:tr>
        <w:tc>
          <w:tcPr>
            <w:tcW w:type="dxa" w:w="500"/>
            <w:tcMar>
              <w:top w:type="dxa" w:w="70"/>
              <w:left w:type="dxa" w:w="100"/>
              <w:bottom w:type="dxa" w:w="70"/>
              <w:right w:type="dxa" w:w="100"/>
            </w:tcMar>
          </w:tcPr>
          <w:p>
            <w:r>
              <w:rPr>
                <w:b w:val="false"/>
                <w:bCs w:val="false"/>
                <w:sz w:val="18"/>
                <w:szCs w:val="18"/>
              </w:rPr>
              <w:t xml:space="preserve">8</w:t>
            </w:r>
          </w:p>
        </w:tc>
        <w:tc>
          <w:tcPr>
            <w:tcW w:type="dxa" w:w="4200"/>
            <w:tcMar>
              <w:top w:type="dxa" w:w="70"/>
              <w:left w:type="dxa" w:w="100"/>
              <w:bottom w:type="dxa" w:w="70"/>
              <w:right w:type="dxa" w:w="100"/>
            </w:tcMar>
          </w:tcPr>
          <w:p>
            <w:r>
              <w:rPr>
                <w:b w:val="false"/>
                <w:bCs w:val="false"/>
                <w:sz w:val="18"/>
                <w:szCs w:val="18"/>
              </w:rPr>
              <w:t xml:space="preserve">Aceptar expresamente, al firmar el alta, que la UIF o el SAT realicen notificaciones electrónicas por el Portal en Internet (Art. 6 RCG)</w:t>
            </w:r>
          </w:p>
        </w:tc>
        <w:tc>
          <w:tcPr>
            <w:tcW w:type="dxa" w:w="1800"/>
            <w:tcMar>
              <w:top w:type="dxa" w:w="70"/>
              <w:left w:type="dxa" w:w="100"/>
              <w:bottom w:type="dxa" w:w="70"/>
              <w:right w:type="dxa" w:w="100"/>
            </w:tcMar>
          </w:tcPr>
          <w:p>
            <w:r>
              <w:rPr>
                <w:b w:val="false"/>
                <w:bCs w:val="false"/>
                <w:sz w:val="18"/>
                <w:szCs w:val="18"/>
              </w:rPr>
              <w:t xml:space="preserve">Repr. Legal</w:t>
            </w:r>
          </w:p>
        </w:tc>
        <w:tc>
          <w:tcPr>
            <w:tcW w:type="dxa" w:w="1600"/>
            <w:tcMar>
              <w:top w:type="dxa" w:w="70"/>
              <w:left w:type="dxa" w:w="100"/>
              <w:bottom w:type="dxa" w:w="70"/>
              <w:right w:type="dxa" w:w="100"/>
            </w:tcMar>
          </w:tcPr>
          <w:p>
            <w:r>
              <w:rPr>
                <w:b w:val="false"/>
                <w:bCs w:val="false"/>
                <w:sz w:val="18"/>
                <w:szCs w:val="18"/>
              </w:rPr>
              <w:t xml:space="preserve">Día 7</w:t>
            </w:r>
          </w:p>
        </w:tc>
      </w:tr>
      <w:tr>
        <w:tc>
          <w:tcPr>
            <w:tcW w:type="dxa" w:w="500"/>
            <w:tcMar>
              <w:top w:type="dxa" w:w="70"/>
              <w:left w:type="dxa" w:w="100"/>
              <w:bottom w:type="dxa" w:w="70"/>
              <w:right w:type="dxa" w:w="100"/>
            </w:tcMar>
          </w:tcPr>
          <w:p>
            <w:r>
              <w:rPr>
                <w:b w:val="false"/>
                <w:bCs w:val="false"/>
                <w:sz w:val="18"/>
                <w:szCs w:val="18"/>
              </w:rPr>
              <w:t xml:space="preserve">9</w:t>
            </w:r>
          </w:p>
        </w:tc>
        <w:tc>
          <w:tcPr>
            <w:tcW w:type="dxa" w:w="4200"/>
            <w:tcMar>
              <w:top w:type="dxa" w:w="70"/>
              <w:left w:type="dxa" w:w="100"/>
              <w:bottom w:type="dxa" w:w="70"/>
              <w:right w:type="dxa" w:w="100"/>
            </w:tcMar>
          </w:tcPr>
          <w:p>
            <w:r>
              <w:rPr>
                <w:b w:val="false"/>
                <w:bCs w:val="false"/>
                <w:sz w:val="18"/>
                <w:szCs w:val="18"/>
              </w:rPr>
              <w:t xml:space="preserve">Archivar constancia de registro en el expediente Certus PLD</w:t>
            </w:r>
          </w:p>
        </w:tc>
        <w:tc>
          <w:tcPr>
            <w:tcW w:type="dxa" w:w="1800"/>
            <w:tcMar>
              <w:top w:type="dxa" w:w="70"/>
              <w:left w:type="dxa" w:w="100"/>
              <w:bottom w:type="dxa" w:w="70"/>
              <w:right w:type="dxa" w:w="100"/>
            </w:tcMar>
          </w:tcPr>
          <w:p>
            <w:r>
              <w:rPr>
                <w:b w:val="false"/>
                <w:bCs w:val="false"/>
                <w:sz w:val="18"/>
                <w:szCs w:val="18"/>
              </w:rPr>
              <w:t xml:space="preserve">Repr. Cumpl.</w:t>
            </w:r>
          </w:p>
        </w:tc>
        <w:tc>
          <w:tcPr>
            <w:tcW w:type="dxa" w:w="1600"/>
            <w:tcMar>
              <w:top w:type="dxa" w:w="70"/>
              <w:left w:type="dxa" w:w="100"/>
              <w:bottom w:type="dxa" w:w="70"/>
              <w:right w:type="dxa" w:w="100"/>
            </w:tcMar>
          </w:tcPr>
          <w:p>
            <w:r>
              <w:rPr>
                <w:b w:val="false"/>
                <w:bCs w:val="false"/>
                <w:sz w:val="18"/>
                <w:szCs w:val="18"/>
              </w:rPr>
              <w:t xml:space="preserve">Día 8</w:t>
            </w:r>
          </w:p>
        </w:tc>
      </w:tr>
    </w:tbl>
    <w:p>
      <w:pPr>
        <w:pStyle w:val="Heading2"/>
        <w:spacing w:after="120" w:before="320"/>
      </w:pPr>
      <w:r>
        <w:t xml:space="preserve">IV. Control de registro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Mar>
              <w:top w:type="dxa" w:w="70"/>
              <w:left w:type="dxa" w:w="100"/>
              <w:bottom w:type="dxa" w:w="70"/>
              <w:right w:type="dxa" w:w="100"/>
            </w:tcMar>
          </w:tcPr>
          <w:p>
            <w:r>
              <w:rPr>
                <w:b w:val="false"/>
                <w:bCs w:val="false"/>
                <w:sz w:val="18"/>
                <w:szCs w:val="18"/>
              </w:rPr>
              <w:t xml:space="preserve">Tipo de figura registrada:</w:t>
            </w:r>
          </w:p>
        </w:tc>
        <w:tc>
          <w:tcPr>
            <w:tcW w:type="dxa" w:w="6200"/>
            <w:tcMar>
              <w:top w:type="dxa" w:w="70"/>
              <w:left w:type="dxa" w:w="100"/>
              <w:bottom w:type="dxa" w:w="70"/>
              <w:right w:type="dxa" w:w="100"/>
            </w:tcMar>
          </w:tcPr>
          <w:p>
            <w:r>
              <w:rPr>
                <w:b w:val="false"/>
                <w:bCs w:val="false"/>
                <w:sz w:val="18"/>
                <w:szCs w:val="18"/>
              </w:rPr>
              <w:t xml:space="preserve">[ ] Persona física   [ ] Persona moral   [ ] Fideicomiso   [ ] Otra figura jurídica</w:t>
            </w:r>
          </w:p>
        </w:tc>
      </w:tr>
      <w:tr>
        <w:tc>
          <w:tcPr>
            <w:tcW w:type="dxa" w:w="3400"/>
            <w:tcMar>
              <w:top w:type="dxa" w:w="70"/>
              <w:left w:type="dxa" w:w="100"/>
              <w:bottom w:type="dxa" w:w="70"/>
              <w:right w:type="dxa" w:w="100"/>
            </w:tcMar>
          </w:tcPr>
          <w:p>
            <w:r>
              <w:rPr>
                <w:b w:val="false"/>
                <w:bCs w:val="false"/>
                <w:sz w:val="18"/>
                <w:szCs w:val="18"/>
              </w:rPr>
              <w:t xml:space="preserve">Fecha de ingreso al Portal:</w:t>
            </w:r>
          </w:p>
        </w:tc>
        <w:tc>
          <w:tcPr>
            <w:tcW w:type="dxa" w:w="6200"/>
            <w:tcMar>
              <w:top w:type="dxa" w:w="70"/>
              <w:left w:type="dxa" w:w="100"/>
              <w:bottom w:type="dxa" w:w="70"/>
              <w:right w:type="dxa" w:w="100"/>
            </w:tcMar>
          </w:tcPr>
          <w:p>
            <w:r>
              <w:rPr>
                <w:b w:val="false"/>
                <w:bCs w:val="false"/>
                <w:sz w:val="18"/>
                <w:szCs w:val="18"/>
              </w:rPr>
              <w:t xml:space="preserve"/>
            </w:r>
          </w:p>
        </w:tc>
      </w:tr>
      <w:tr>
        <w:tc>
          <w:tcPr>
            <w:tcW w:type="dxa" w:w="3400"/>
            <w:tcMar>
              <w:top w:type="dxa" w:w="70"/>
              <w:left w:type="dxa" w:w="100"/>
              <w:bottom w:type="dxa" w:w="70"/>
              <w:right w:type="dxa" w:w="100"/>
            </w:tcMar>
          </w:tcPr>
          <w:p>
            <w:r>
              <w:rPr>
                <w:b w:val="false"/>
                <w:bCs w:val="false"/>
                <w:sz w:val="18"/>
                <w:szCs w:val="18"/>
              </w:rPr>
              <w:t xml:space="preserve">Número de folio de solicitud:</w:t>
            </w:r>
          </w:p>
        </w:tc>
        <w:tc>
          <w:tcPr>
            <w:tcW w:type="dxa" w:w="6200"/>
            <w:tcMar>
              <w:top w:type="dxa" w:w="70"/>
              <w:left w:type="dxa" w:w="100"/>
              <w:bottom w:type="dxa" w:w="70"/>
              <w:right w:type="dxa" w:w="100"/>
            </w:tcMar>
          </w:tcPr>
          <w:p>
            <w:r>
              <w:rPr>
                <w:b w:val="false"/>
                <w:bCs w:val="false"/>
                <w:sz w:val="18"/>
                <w:szCs w:val="18"/>
              </w:rPr>
              <w:t xml:space="preserve"/>
            </w:r>
          </w:p>
        </w:tc>
      </w:tr>
      <w:tr>
        <w:tc>
          <w:tcPr>
            <w:tcW w:type="dxa" w:w="3400"/>
            <w:tcMar>
              <w:top w:type="dxa" w:w="70"/>
              <w:left w:type="dxa" w:w="100"/>
              <w:bottom w:type="dxa" w:w="70"/>
              <w:right w:type="dxa" w:w="100"/>
            </w:tcMar>
          </w:tcPr>
          <w:p>
            <w:r>
              <w:rPr>
                <w:b w:val="false"/>
                <w:bCs w:val="false"/>
                <w:sz w:val="18"/>
                <w:szCs w:val="18"/>
              </w:rPr>
              <w:t xml:space="preserve">Fecha de aprobación:</w:t>
            </w:r>
          </w:p>
        </w:tc>
        <w:tc>
          <w:tcPr>
            <w:tcW w:type="dxa" w:w="6200"/>
            <w:tcMar>
              <w:top w:type="dxa" w:w="70"/>
              <w:left w:type="dxa" w:w="100"/>
              <w:bottom w:type="dxa" w:w="70"/>
              <w:right w:type="dxa" w:w="100"/>
            </w:tcMar>
          </w:tcPr>
          <w:p>
            <w:r>
              <w:rPr>
                <w:b w:val="false"/>
                <w:bCs w:val="false"/>
                <w:sz w:val="18"/>
                <w:szCs w:val="18"/>
              </w:rPr>
              <w:t xml:space="preserve"/>
            </w:r>
          </w:p>
        </w:tc>
      </w:tr>
      <w:tr>
        <w:tc>
          <w:tcPr>
            <w:tcW w:type="dxa" w:w="3400"/>
            <w:tcMar>
              <w:top w:type="dxa" w:w="70"/>
              <w:left w:type="dxa" w:w="100"/>
              <w:bottom w:type="dxa" w:w="70"/>
              <w:right w:type="dxa" w:w="100"/>
            </w:tcMar>
          </w:tcPr>
          <w:p>
            <w:r>
              <w:rPr>
                <w:b w:val="false"/>
                <w:bCs w:val="false"/>
                <w:sz w:val="18"/>
                <w:szCs w:val="18"/>
              </w:rPr>
              <w:t xml:space="preserve">Número de registro SPPLD:</w:t>
            </w:r>
          </w:p>
        </w:tc>
        <w:tc>
          <w:tcPr>
            <w:tcW w:type="dxa" w:w="6200"/>
            <w:tcMar>
              <w:top w:type="dxa" w:w="70"/>
              <w:left w:type="dxa" w:w="100"/>
              <w:bottom w:type="dxa" w:w="70"/>
              <w:right w:type="dxa" w:w="100"/>
            </w:tcMar>
          </w:tcPr>
          <w:p>
            <w:r>
              <w:rPr>
                <w:b w:val="false"/>
                <w:bCs w:val="false"/>
                <w:sz w:val="18"/>
                <w:szCs w:val="18"/>
              </w:rPr>
              <w:t xml:space="preserve"/>
            </w:r>
          </w:p>
        </w:tc>
      </w:tr>
      <w:tr>
        <w:tc>
          <w:tcPr>
            <w:tcW w:type="dxa" w:w="3400"/>
            <w:tcMar>
              <w:top w:type="dxa" w:w="70"/>
              <w:left w:type="dxa" w:w="100"/>
              <w:bottom w:type="dxa" w:w="70"/>
              <w:right w:type="dxa" w:w="100"/>
            </w:tcMar>
          </w:tcPr>
          <w:p>
            <w:r>
              <w:rPr>
                <w:b w:val="false"/>
                <w:bCs w:val="false"/>
                <w:sz w:val="18"/>
                <w:szCs w:val="18"/>
              </w:rPr>
              <w:t xml:space="preserve">Usuario de acceso al portal:</w:t>
            </w:r>
          </w:p>
        </w:tc>
        <w:tc>
          <w:tcPr>
            <w:tcW w:type="dxa" w:w="6200"/>
            <w:tcMar>
              <w:top w:type="dxa" w:w="70"/>
              <w:left w:type="dxa" w:w="100"/>
              <w:bottom w:type="dxa" w:w="70"/>
              <w:right w:type="dxa" w:w="100"/>
            </w:tcMar>
          </w:tcPr>
          <w:p>
            <w:r>
              <w:rPr>
                <w:b w:val="false"/>
                <w:bCs w:val="false"/>
                <w:sz w:val="18"/>
                <w:szCs w:val="18"/>
              </w:rPr>
              <w:t xml:space="preserve"/>
            </w:r>
          </w:p>
        </w:tc>
      </w:tr>
      <w:tr>
        <w:tc>
          <w:tcPr>
            <w:tcW w:type="dxa" w:w="3400"/>
            <w:tcMar>
              <w:top w:type="dxa" w:w="70"/>
              <w:left w:type="dxa" w:w="100"/>
              <w:bottom w:type="dxa" w:w="70"/>
              <w:right w:type="dxa" w:w="100"/>
            </w:tcMar>
          </w:tcPr>
          <w:p>
            <w:r>
              <w:rPr>
                <w:b w:val="false"/>
                <w:bCs w:val="false"/>
                <w:sz w:val="18"/>
                <w:szCs w:val="18"/>
              </w:rPr>
              <w:t xml:space="preserve">Clave de acceso (referencia):</w:t>
            </w:r>
          </w:p>
        </w:tc>
        <w:tc>
          <w:tcPr>
            <w:tcW w:type="dxa" w:w="6200"/>
            <w:tcMar>
              <w:top w:type="dxa" w:w="70"/>
              <w:left w:type="dxa" w:w="100"/>
              <w:bottom w:type="dxa" w:w="70"/>
              <w:right w:type="dxa" w:w="100"/>
            </w:tcMar>
          </w:tcPr>
          <w:p>
            <w:r>
              <w:rPr>
                <w:b w:val="false"/>
                <w:bCs w:val="false"/>
                <w:sz w:val="18"/>
                <w:szCs w:val="18"/>
              </w:rPr>
              <w:t xml:space="preserve">Resguardada en [ubicación segura]</w:t>
            </w:r>
          </w:p>
        </w:tc>
      </w:tr>
      <w:tr>
        <w:tc>
          <w:tcPr>
            <w:tcW w:type="dxa" w:w="3400"/>
            <w:tcMar>
              <w:top w:type="dxa" w:w="70"/>
              <w:left w:type="dxa" w:w="100"/>
              <w:bottom w:type="dxa" w:w="70"/>
              <w:right w:type="dxa" w:w="100"/>
            </w:tcMar>
          </w:tcPr>
          <w:p>
            <w:r>
              <w:rPr>
                <w:b w:val="false"/>
                <w:bCs w:val="false"/>
                <w:sz w:val="18"/>
                <w:szCs w:val="18"/>
              </w:rPr>
              <w:t xml:space="preserve">Próxima actualización anual:</w:t>
            </w:r>
          </w:p>
        </w:tc>
        <w:tc>
          <w:tcPr>
            <w:tcW w:type="dxa" w:w="6200"/>
            <w:tcMar>
              <w:top w:type="dxa" w:w="70"/>
              <w:left w:type="dxa" w:w="100"/>
              <w:bottom w:type="dxa" w:w="70"/>
              <w:right w:type="dxa" w:w="100"/>
            </w:tcMar>
          </w:tcPr>
          <w:p>
            <w:r>
              <w:rPr>
                <w:b w:val="false"/>
                <w:bCs w:val="false"/>
                <w:sz w:val="18"/>
                <w:szCs w:val="18"/>
              </w:rPr>
              <w:t xml:space="preserve"/>
            </w:r>
          </w:p>
        </w:tc>
      </w:tr>
      <w:tr>
        <w:tc>
          <w:tcPr>
            <w:tcW w:type="dxa" w:w="3400"/>
            <w:tcMar>
              <w:top w:type="dxa" w:w="70"/>
              <w:left w:type="dxa" w:w="100"/>
              <w:bottom w:type="dxa" w:w="70"/>
              <w:right w:type="dxa" w:w="100"/>
            </w:tcMar>
          </w:tcPr>
          <w:p>
            <w:r>
              <w:rPr>
                <w:b w:val="false"/>
                <w:bCs w:val="false"/>
                <w:sz w:val="18"/>
                <w:szCs w:val="18"/>
              </w:rPr>
              <w:t xml:space="preserve">Soporte técnico Certus PLD:</w:t>
            </w:r>
          </w:p>
        </w:tc>
        <w:tc>
          <w:tcPr>
            <w:tcW w:type="dxa" w:w="6200"/>
            <w:tcMar>
              <w:top w:type="dxa" w:w="70"/>
              <w:left w:type="dxa" w:w="100"/>
              <w:bottom w:type="dxa" w:w="70"/>
              <w:right w:type="dxa" w:w="100"/>
            </w:tcMar>
          </w:tcPr>
          <w:p>
            <w:r>
              <w:rPr>
                <w:b w:val="false"/>
                <w:bCs w:val="false"/>
                <w:sz w:val="18"/>
                <w:szCs w:val="18"/>
              </w:rPr>
              <w:t xml:space="preserve">contacto@certusconsultores.com.mx │ 999 163 1363</w:t>
            </w:r>
          </w:p>
        </w:tc>
      </w:tr>
    </w:tbl>
    <w:p>
      <w:pPr>
        <w:pStyle w:val="Heading2"/>
        <w:spacing w:after="120" w:before="320"/>
      </w:pPr>
      <w:r>
        <w:t xml:space="preserve">V. Obligaciones posteriores al registro</w:t>
      </w:r>
    </w:p>
    <w:p>
      <w:pPr>
        <w:pStyle w:val="ListParagraph"/>
        <w:numPr>
          <w:ilvl w:val="0"/>
          <w:numId w:val="1"/>
        </w:numPr>
        <w:spacing w:after="60"/>
      </w:pPr>
      <w:r>
        <w:rPr>
          <w:sz w:val="20"/>
          <w:szCs w:val="20"/>
        </w:rPr>
        <w:t xml:space="preserve">Actualizar los datos en el Portal en Internet dentro de los 6 días hábiles siguientes a que se presente el hecho o circunstancia que motive el cambio (Art. 7 RCG).</w:t>
      </w:r>
    </w:p>
    <w:p>
      <w:pPr>
        <w:pStyle w:val="ListParagraph"/>
        <w:numPr>
          <w:ilvl w:val="0"/>
          <w:numId w:val="1"/>
        </w:numPr>
        <w:spacing w:after="60"/>
      </w:pPr>
      <w:r>
        <w:rPr>
          <w:sz w:val="20"/>
          <w:szCs w:val="20"/>
        </w:rPr>
        <w:t xml:space="preserve">Consultar el Portal en Internet al menos una vez cada día hábil; las notificaciones electrónicas se tienen por realizadas al cuarto día hábil siguiente a su envío, y se cuenta con 3 días hábiles para abrir los documentos pendientes (Art. 6 RCG).</w:t>
      </w:r>
    </w:p>
    <w:p>
      <w:pPr>
        <w:pStyle w:val="ListParagraph"/>
        <w:numPr>
          <w:ilvl w:val="0"/>
          <w:numId w:val="1"/>
        </w:numPr>
        <w:spacing w:after="60"/>
      </w:pPr>
      <w:r>
        <w:rPr>
          <w:sz w:val="20"/>
          <w:szCs w:val="20"/>
        </w:rPr>
        <w:t xml:space="preserve">Atender los requerimientos de información o documentación que formule el SAT dentro de los 10 días hábiles siguientes a la notificación, prorrogables hasta por 5 días hábiles adicionales a solicitud del interesado (Art. 9 RCG).</w:t>
      </w:r>
    </w:p>
    <w:p>
      <w:pPr>
        <w:pStyle w:val="ListParagraph"/>
        <w:numPr>
          <w:ilvl w:val="0"/>
          <w:numId w:val="1"/>
        </w:numPr>
        <w:spacing w:after="60"/>
      </w:pPr>
      <w:r>
        <w:rPr>
          <w:sz w:val="20"/>
          <w:szCs w:val="20"/>
        </w:rPr>
        <w:t xml:space="preserve">Dar de baja el registro cuando la empresa deje de realizar la Actividad Vulnerable, mediante el trámite de actualización correspondiente (Art. 8 RCG).</w:t>
      </w:r>
    </w:p>
    <w:p>
      <w:pPr>
        <w:pStyle w:val="ListParagraph"/>
        <w:numPr>
          <w:ilvl w:val="0"/>
          <w:numId w:val="1"/>
        </w:numPr>
        <w:spacing w:after="60"/>
      </w:pPr>
      <w:r>
        <w:rPr>
          <w:sz w:val="20"/>
          <w:szCs w:val="20"/>
        </w:rPr>
        <w:t xml:space="preserve">Renovar o mantener actualizado el registro anualmente, o cuando la autoridad lo requiera.</w:t>
      </w:r>
    </w:p>
    <w:p>
      <w:pPr>
        <w:pStyle w:val="ListParagraph"/>
        <w:numPr>
          <w:ilvl w:val="0"/>
          <w:numId w:val="1"/>
        </w:numPr>
        <w:spacing w:after="60"/>
      </w:pPr>
      <w:r>
        <w:rPr>
          <w:sz w:val="20"/>
          <w:szCs w:val="20"/>
        </w:rPr>
        <w:t xml:space="preserve">Usar el Portal en Internet para la presentación de Avisos e Informes.</w:t>
      </w:r>
    </w:p>
    <w:p>
      <w:pPr>
        <w:pStyle w:val="ListParagraph"/>
        <w:numPr>
          <w:ilvl w:val="0"/>
          <w:numId w:val="1"/>
        </w:numPr>
        <w:spacing w:after="60"/>
      </w:pPr>
      <w:r>
        <w:rPr>
          <w:sz w:val="20"/>
          <w:szCs w:val="20"/>
        </w:rPr>
        <w:t xml:space="preserve">Conservar constancia del registro y acuses durante 10 años (D10).</w:t>
      </w:r>
    </w:p>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2026-08-11T14:19:21.230Z</dcterms:created>
  <dcterms:modified xsi:type="dcterms:W3CDTF">2026-08-11T14:19:21.230Z</dcterms:modified>
</cp:coreProperties>
</file>

<file path=docProps/custom.xml><?xml version="1.0" encoding="utf-8"?>
<Properties xmlns="http://schemas.openxmlformats.org/officeDocument/2006/custom-properties" xmlns:vt="http://schemas.openxmlformats.org/officeDocument/2006/docPropsVTypes"/>
</file>