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1D09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53D1D0A" w14:textId="77777777" w:rsidR="007850A9" w:rsidRDefault="00000000">
      <w:pPr>
        <w:spacing w:after="60"/>
        <w:jc w:val="center"/>
      </w:pPr>
      <w:r>
        <w:rPr>
          <w:b/>
          <w:bCs/>
          <w:color w:val="1B2A4A"/>
          <w:sz w:val="24"/>
          <w:szCs w:val="24"/>
        </w:rPr>
        <w:t>PT-00 — CÉDULA DE PLANEACIÓN DE AUDITORÍA</w:t>
      </w:r>
    </w:p>
    <w:p w14:paraId="253D1D0B" w14:textId="77777777" w:rsidR="007850A9" w:rsidRDefault="00000000">
      <w:pPr>
        <w:spacing w:after="120"/>
        <w:jc w:val="center"/>
      </w:pPr>
      <w:r>
        <w:rPr>
          <w:color w:val="C9A84C"/>
          <w:sz w:val="17"/>
          <w:szCs w:val="17"/>
        </w:rPr>
        <w:t>Auditoría de Cierre + Regularización Histórica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7850A9" w14:paraId="253D1D0D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0C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I.  DATOS GENERALES DE LA AUDITORIA</w:t>
            </w:r>
          </w:p>
        </w:tc>
      </w:tr>
      <w:tr w:rsidR="007850A9" w14:paraId="253D1D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0E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Empresa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0F" w14:textId="0EE7C5B5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[La_Empresa]</w:t>
            </w:r>
          </w:p>
        </w:tc>
      </w:tr>
      <w:tr w:rsidR="007850A9" w14:paraId="253D1D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1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RFC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2" w14:textId="2CBD2372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[RFC]</w:t>
            </w:r>
          </w:p>
        </w:tc>
      </w:tr>
      <w:tr w:rsidR="007850A9" w14:paraId="253D1D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4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Representante de 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5" w14:textId="427DCEB0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[RC_Nombre]</w:t>
            </w:r>
          </w:p>
        </w:tc>
      </w:tr>
      <w:tr w:rsidR="007850A9" w14:paraId="253D1D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7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Auditor externo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8" w14:textId="743EC5E4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Jose Luis Naranjo Bobadilla — CERTUS CONSULTORES/ESPINOSA SALAZAR</w:t>
            </w:r>
          </w:p>
        </w:tc>
      </w:tr>
      <w:tr w:rsidR="007850A9" w14:paraId="253D1D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A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Tipo de programa auditado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PLD — Programa de Cumplimiento PLD/FT (90 días)</w:t>
            </w:r>
          </w:p>
        </w:tc>
      </w:tr>
      <w:tr w:rsidR="007850A9" w14:paraId="253D1D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D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NOTA DE ESTRUCTURA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Auditoría en dos fases: Fase 0 (regularización histórica) + Fase 5 (auditoría de cierre)</w:t>
            </w:r>
          </w:p>
        </w:tc>
      </w:tr>
      <w:tr w:rsidR="007850A9" w14:paraId="253D1D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0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Período cubierto por la auditoría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1" w14:textId="12DF956A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Junio 2025 — [Fecha_Cierre] (período de vigencia de la reforma LFPIORPI julio 2025)</w:t>
            </w:r>
          </w:p>
        </w:tc>
      </w:tr>
      <w:tr w:rsidR="007850A9" w14:paraId="253D1D2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3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de inicio regularización histórica (Fase 0)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4" w14:textId="444A84A9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[Fecha_Inicio_Fase0]</w:t>
            </w:r>
          </w:p>
        </w:tc>
      </w:tr>
      <w:tr w:rsidR="007850A9" w14:paraId="253D1D2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6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de inicio auditoría de cierre (Fase 5)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7" w14:textId="42697785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[Fecha_Inicio]</w:t>
            </w:r>
          </w:p>
        </w:tc>
      </w:tr>
      <w:tr w:rsidR="007850A9" w14:paraId="253D1D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9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estimada de cierre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A" w14:textId="1BF3829F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[Fecha_Cierre]</w:t>
            </w:r>
          </w:p>
        </w:tc>
      </w:tr>
      <w:tr w:rsidR="007850A9" w14:paraId="253D1D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C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Lugar de ejecución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D" w14:textId="1EF12066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[Lugar]</w:t>
            </w:r>
          </w:p>
        </w:tc>
      </w:tr>
      <w:tr w:rsidR="007850A9" w14:paraId="253D1D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F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Fundamento legal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3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LFPIORPI (reforma DOF 16 julio 2025), Reglamento (reforma DOF 27 marzo 2026), Art. 55 de la Ley (actuación espontánea)</w:t>
            </w:r>
          </w:p>
        </w:tc>
      </w:tr>
    </w:tbl>
    <w:p w14:paraId="253D1D32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50A9" w14:paraId="253D1D41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D1D33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>II.  ESTRUCTURA DUAL: FASE 0 (REGULARIZACIÓN HISTÓRICA) + FASE 5 (AUDITORÍA DE CIERRE)</w:t>
            </w:r>
          </w:p>
          <w:p w14:paraId="253D1D34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Esta auditoría se ejecuta en dos fases secuenciales para asegurar que la empresa inicia la vigencia del programa sin deficiencias retroactivas que generen exposición legal.</w:t>
            </w:r>
          </w:p>
          <w:p w14:paraId="253D1D35" w14:textId="4C2FD8DF" w:rsidR="007850A9" w:rsidRDefault="0000000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FASE 0 — REGULARIZACIÓN HISTÓRICA (Ejecutada antes del 15 de [Fecha_Inicio]):</w:t>
            </w:r>
          </w:p>
          <w:p w14:paraId="253D1D36" w14:textId="242593FE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• Reconstrucción de expedientes KYC para todas las operaciones cerradas entre junio 2025 y [Mes_Anterior_Auditoria] 2026.</w:t>
            </w:r>
          </w:p>
          <w:p w14:paraId="253D1D37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Aplicación retrospectiva de la metodología EBR (D6 / D6-DEV) a cada cliente del período.</w:t>
            </w:r>
          </w:p>
          <w:p w14:paraId="253D1D38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Presentación extemporánea de avisos SAT para operaciones que superaban umbral y no fueron reportadas (actuación espontánea — Art. 55 LFPIORPI).</w:t>
            </w:r>
          </w:p>
          <w:p w14:paraId="253D1D39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Documento soporte: D0A — Acta de Regularización Histórica (incluye registro anexo de operaciones regularizadas).</w:t>
            </w:r>
          </w:p>
          <w:p w14:paraId="253D1D3A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• Resultado esperado: 100% de operaciones documentadas, avisos extemporáneos presentados con acuses SPPLD, beneficio de actuación espontánea (reducción de multas hasta 50%).</w:t>
            </w:r>
          </w:p>
          <w:p w14:paraId="253D1D3B" w14:textId="52E14A6B" w:rsidR="007850A9" w:rsidRDefault="0000000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FASE 5 — AUDITORÍA DE CIERRE (Ejecutada después del 15 de [Fecha_Inicio]):</w:t>
            </w:r>
          </w:p>
          <w:p w14:paraId="253D1D3C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Verificación de que el programa Certus PLD opera conforme a la normatividad vigente.</w:t>
            </w:r>
          </w:p>
          <w:p w14:paraId="253D1D3D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Revisión de que la Fase 0 fue completada correctamente (D0A integrada como soporte).</w:t>
            </w:r>
          </w:p>
          <w:p w14:paraId="253D1D3E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Muestreo y revisión de expedientes KYC, EBR, PEPs, ROIs, capacitación, resguardo documental.</w:t>
            </w:r>
          </w:p>
          <w:p w14:paraId="253D1D3F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Opinión global reflejada en el D13 — Informe de Auditoría PLD, que consolidará tanto el resultado de la regularización como el estado operativo del programa.</w:t>
            </w:r>
          </w:p>
          <w:p w14:paraId="253D1D40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• Papeles de trabajo: PT-00 a PT-09 (soportan auditoría de Fase 5; Fase 0 queda documentada en D0A integrado a PT-00).</w:t>
            </w:r>
          </w:p>
        </w:tc>
      </w:tr>
    </w:tbl>
    <w:p w14:paraId="253D1D42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850A9" w14:paraId="253D1D44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43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III.  OBJETIVO Y ALCANCE DE LA AUDITORÍA</w:t>
            </w:r>
          </w:p>
        </w:tc>
      </w:tr>
      <w:tr w:rsidR="007850A9" w14:paraId="253D1D4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5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Objetivo general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6" w14:textId="5DBF68DF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Verificar que el Programa Certus PLD opera de manera efectiva y conforme a las obligaciones establecidas por la LFPIORPI y su Reglamento, en el período completo desde junio 2025 hasta [Fecha_Cierre], incluyendo la regularización histórica de operaciones previas a la implementación del programa.</w:t>
            </w:r>
          </w:p>
        </w:tc>
      </w:tr>
      <w:tr w:rsidR="007850A9" w14:paraId="253D1D4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8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Alcance temporal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9" w14:textId="5C0DD9E6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Período completo: junio 2025 — [Fecha_Cierre] (cubriendo la entrada en vigor de la reforma LFPIORPI — 17 julio 2025).</w:t>
            </w:r>
          </w:p>
        </w:tc>
      </w:tr>
      <w:tr w:rsidR="007850A9" w14:paraId="253D1D4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B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Alcance por módulos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C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10 módulos operacionales del Programa Certus PLD, más verificación del proceso de regularización histórica (D0A).</w:t>
            </w:r>
          </w:p>
        </w:tc>
      </w:tr>
      <w:tr w:rsidR="007850A9" w14:paraId="253D1D5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E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Limitaciones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F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Ninguna. Se cuenta con acceso total a documentación de Fase 0 (D0A + anexo de operaciones regularizadas) y a los expedientes operacionales del período.</w:t>
            </w:r>
          </w:p>
        </w:tc>
      </w:tr>
    </w:tbl>
    <w:p w14:paraId="253D1D51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2780"/>
        <w:gridCol w:w="3714"/>
        <w:gridCol w:w="2041"/>
      </w:tblGrid>
      <w:tr w:rsidR="007850A9" w14:paraId="253D1D53" w14:textId="77777777">
        <w:trPr>
          <w:gridAfter w:val="1"/>
          <w:wAfter w:w="126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2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IV.  MODULOS A AUDITAR (FASE 5)</w:t>
            </w:r>
          </w:p>
        </w:tc>
      </w:tr>
      <w:tr w:rsidR="007850A9" w14:paraId="253D1D5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4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5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6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DOCUMENTO(S) REFERENCIA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</w:tr>
      <w:tr w:rsidR="007850A9" w14:paraId="253D1D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9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Planeación de auditoría + Regularización Fase 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D0A + cronograma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C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10 días</w:t>
            </w:r>
          </w:p>
        </w:tc>
      </w:tr>
      <w:tr w:rsidR="007850A9" w14:paraId="253D1D6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E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documental integral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D0-D13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1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Kit completo</w:t>
            </w:r>
          </w:p>
        </w:tc>
      </w:tr>
      <w:tr w:rsidR="007850A9" w14:paraId="253D1D6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3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Registro SPPLD y avisos SAT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D3, D12, D0A (anexo)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6" w14:textId="6D464A3C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Jun 2025–[Mes_Anterior_Auditoria] + actuación espontánea</w:t>
            </w:r>
          </w:p>
        </w:tc>
      </w:tr>
      <w:tr w:rsidR="007850A9" w14:paraId="253D1D6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8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Muestreo KYC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D7 / D7-DEV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B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Min. 20% + 100% riesgo alto/PEPs</w:t>
            </w:r>
          </w:p>
        </w:tc>
      </w:tr>
      <w:tr w:rsidR="007850A9" w14:paraId="253D1D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D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Evaluación EBR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D6 / D6-DEV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0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Aplicación a universo cliente</w:t>
            </w:r>
          </w:p>
        </w:tc>
      </w:tr>
      <w:tr w:rsidR="007850A9" w14:paraId="253D1D7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2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Política PEPs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5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Identificación y diligencia reforzada</w:t>
            </w:r>
          </w:p>
        </w:tc>
      </w:tr>
      <w:tr w:rsidR="007850A9" w14:paraId="253D1D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Reportes ROI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A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Detección y reporte de operaciones inusuales</w:t>
            </w:r>
          </w:p>
        </w:tc>
      </w:tr>
      <w:tr w:rsidR="007850A9" w14:paraId="253D1D8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C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D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Programa de capacitación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D11, D11B, D11C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F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Personal del área PLD</w:t>
            </w:r>
          </w:p>
        </w:tc>
      </w:tr>
      <w:tr w:rsidR="007850A9" w14:paraId="253D1D8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1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2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Resguardo documental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4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Integridad, acceso, plazo 5 años</w:t>
            </w:r>
          </w:p>
        </w:tc>
      </w:tr>
      <w:tr w:rsidR="007850A9" w14:paraId="253D1D8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6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7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Conclusión y cruce con D13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D13 + todos PT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9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Opinión global y plan de remediación</w:t>
            </w:r>
          </w:p>
        </w:tc>
      </w:tr>
    </w:tbl>
    <w:p w14:paraId="253D1D8B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3600"/>
        <w:gridCol w:w="3660"/>
      </w:tblGrid>
      <w:tr w:rsidR="007850A9" w14:paraId="253D1D8D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C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V.  CRONOGRAMA EJECUTIVO (FASE 5 — 10 DÍAS HÁBILES)</w:t>
            </w:r>
          </w:p>
        </w:tc>
      </w:tr>
      <w:tr w:rsidR="007850A9" w14:paraId="253D1D9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E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Semana 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F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documental general (D0-D13), inicio SPPLD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1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PT-01, PT-02 (inicio)</w:t>
            </w:r>
          </w:p>
        </w:tc>
      </w:tr>
      <w:tr w:rsidR="007850A9" w14:paraId="253D1D9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3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4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Verificación completa SPPLD + avisos mensuales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6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PT-02 (cierre)</w:t>
            </w:r>
          </w:p>
        </w:tc>
      </w:tr>
      <w:tr w:rsidR="007850A9" w14:paraId="253D1D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8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9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Selección muestra KYC + muestreo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PT-03 (día 1)</w:t>
            </w:r>
          </w:p>
        </w:tc>
      </w:tr>
      <w:tr w:rsidR="007850A9" w14:paraId="253D1D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D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E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Continuación muestreo KYC + evaluación EBR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PT-03 (cierre), PT-04</w:t>
            </w:r>
          </w:p>
        </w:tc>
      </w:tr>
      <w:tr w:rsidR="007850A9" w14:paraId="253D1DA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2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3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PEPs + ROIs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PT-05, PT-06</w:t>
            </w:r>
          </w:p>
        </w:tc>
      </w:tr>
      <w:tr w:rsidR="007850A9" w14:paraId="253D1DA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Semana 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8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Capacitación + resguardo documental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PT-07, PT-08</w:t>
            </w:r>
          </w:p>
        </w:tc>
      </w:tr>
      <w:tr w:rsidR="007850A9" w14:paraId="253D1DB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C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D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transversal + coherencia sistémica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(inicio)</w:t>
            </w:r>
          </w:p>
        </w:tc>
      </w:tr>
      <w:tr w:rsidR="007850A9" w14:paraId="253D1DB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1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2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Consolidación de hallazgos + propuesta de opinión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(continuación)</w:t>
            </w:r>
          </w:p>
        </w:tc>
      </w:tr>
      <w:tr w:rsidR="007850A9" w14:paraId="253D1DB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6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7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Resolución de pendientes + Acta de Cierre (ACTA-02)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(cierre)</w:t>
            </w:r>
          </w:p>
        </w:tc>
      </w:tr>
      <w:tr w:rsidR="007850A9" w14:paraId="253D1D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B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C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D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Redacción final D13 + entrega de informe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D13 entregable</w:t>
            </w:r>
          </w:p>
        </w:tc>
      </w:tr>
    </w:tbl>
    <w:p w14:paraId="253D1DC0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6"/>
        <w:gridCol w:w="5974"/>
        <w:gridCol w:w="340"/>
      </w:tblGrid>
      <w:tr w:rsidR="007850A9" w14:paraId="253D1DC2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1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VI.  CRITERIOS DE CALIFICACIÓN (SEMÁFORO)</w:t>
            </w:r>
          </w:p>
        </w:tc>
      </w:tr>
      <w:tr w:rsidR="007850A9" w14:paraId="253D1DC5" w14:textId="77777777"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3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VERDE — SATISFACTORIO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Cumple totalmente. Control operativo, documentación completa, sin incumplimientos formales a la LFPIORPI.</w:t>
            </w:r>
          </w:p>
        </w:tc>
      </w:tr>
      <w:tr w:rsidR="007850A9" w14:paraId="253D1DC8" w14:textId="77777777"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6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AMARILLO — OBSERVACIÓN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7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Deficiencia menor. Plan de remediación de corto plazo (30-60 días). No constituye incumplimiento formal.</w:t>
            </w:r>
          </w:p>
        </w:tc>
      </w:tr>
      <w:tr w:rsidR="007850A9" w14:paraId="253D1DCB" w14:textId="77777777"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9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ROJO — INCUMPLIMIENTO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A" w14:textId="5A717EAF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Falta formal a la LFPIORPI. Acción correctiva inmediata requerida. Asentada en D13 como hallazgo de auditoría.</w:t>
            </w:r>
          </w:p>
        </w:tc>
      </w:tr>
    </w:tbl>
    <w:p w14:paraId="253D1DCC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50A9" w14:paraId="253D1DCE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D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VII.  FIRMAS DE INICIO — CONFORMIDAD CON LA PLANEACIÓN</w:t>
            </w:r>
          </w:p>
        </w:tc>
      </w:tr>
      <w:tr w:rsidR="007850A9" w14:paraId="253D1DD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F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D0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D1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ÓRGANO DE ADMINISTRACIÓN</w:t>
            </w:r>
          </w:p>
        </w:tc>
      </w:tr>
      <w:tr w:rsidR="007850A9" w14:paraId="253D1DD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3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4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5" w14:textId="77777777" w:rsidR="007850A9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Jose Luis Naranjo Bobadilla</w:t>
            </w:r>
          </w:p>
          <w:p w14:paraId="253D1DD6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Bufete Juridico / Certus Consultores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7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8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9" w14:textId="18ECDBA7" w:rsidR="007850A9" w:rsidRDefault="00376DD7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[RC_Nombre]</w:t>
            </w:r>
          </w:p>
          <w:p w14:paraId="253D1DDA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Representante de Cumplimiento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B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C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D" w14:textId="65E483CB" w:rsidR="007850A9" w:rsidRDefault="00376DD7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[Testigo_Nombre]</w:t>
            </w:r>
          </w:p>
          <w:p w14:paraId="253D1DDE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Testigo / Órgano de Administración</w:t>
            </w:r>
          </w:p>
        </w:tc>
      </w:tr>
    </w:tbl>
    <w:p w14:paraId="253D1DE0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50A9" w14:paraId="253D1DE3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D1DE1" w14:textId="77777777" w:rsidR="007850A9" w:rsidRDefault="00000000">
            <w:pPr>
              <w:spacing w:after="60"/>
            </w:pPr>
            <w:r>
              <w:rPr>
                <w:b/>
                <w:bCs/>
                <w:color w:val="555500"/>
                <w:sz w:val="16"/>
                <w:szCs w:val="16"/>
              </w:rPr>
              <w:t>NOTA SOBRE ESTRUCTURA Y OBJETIVOS:</w:t>
            </w:r>
          </w:p>
          <w:p w14:paraId="253D1DE2" w14:textId="77777777" w:rsidR="007850A9" w:rsidRDefault="00000000">
            <w:pPr>
              <w:spacing w:after="80"/>
            </w:pPr>
            <w:r>
              <w:rPr>
                <w:color w:val="555500"/>
                <w:sz w:val="15"/>
                <w:szCs w:val="15"/>
              </w:rPr>
              <w:t>La estructura dual (Fase 0 + Fase 5) asegura que la empresa inicia sin deficiencias retroactivas. El D0A queda integrado como soporte en este PT-00 y en el PT-09, documentando la actuación espontánea que reduce multas hasta 50% (Art. 55 LFPIORPI). Si al cierre de la Fase 5 todos los módulos están en verde o amarillo, el D13 emite una opinión de cumplimiento efectivo respaldada por la regularización histórica.</w:t>
            </w:r>
          </w:p>
        </w:tc>
      </w:tr>
    </w:tbl>
    <w:p w14:paraId="253D1DE4" w14:textId="77777777" w:rsidR="001A045A" w:rsidRDefault="001A045A"/>
    <w:sectPr w:rsidR="001A045A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2CEE3" w14:textId="77777777" w:rsidR="00930620" w:rsidRDefault="00930620">
      <w:r>
        <w:separator/>
      </w:r>
    </w:p>
  </w:endnote>
  <w:endnote w:type="continuationSeparator" w:id="0">
    <w:p w14:paraId="75FECD1E" w14:textId="77777777" w:rsidR="00930620" w:rsidRDefault="00930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1DEA" w14:textId="45FC0255" w:rsidR="007850A9" w:rsidRDefault="00000000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| Certus PLD | PT-00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90CE" w14:textId="77777777" w:rsidR="00930620" w:rsidRDefault="00930620">
      <w:r>
        <w:separator/>
      </w:r>
    </w:p>
  </w:footnote>
  <w:footnote w:type="continuationSeparator" w:id="0">
    <w:p w14:paraId="3129399B" w14:textId="77777777" w:rsidR="00930620" w:rsidRDefault="00930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7850A9" w14:paraId="253D1DE8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253D1DE4" w14:textId="54CE39A4" w:rsidR="007850A9" w:rsidRDefault="00000000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PLD  |  </w:t>
          </w:r>
          <w:r w:rsidR="00B47DC8" w:rsidRPr="00B47DC8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253D1DE5" w14:textId="77777777" w:rsidR="007850A9" w:rsidRDefault="00000000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PT-00  Cédula de Planeación de Auditoría (Fase 0 + Fase 5)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53D1DE6" w14:textId="77777777" w:rsidR="007850A9" w:rsidRDefault="00000000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253D1DE7" w14:textId="77777777" w:rsidR="007850A9" w:rsidRDefault="00000000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253D1DE9" w14:textId="77777777" w:rsidR="007850A9" w:rsidRDefault="007850A9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650"/>
    <w:multiLevelType w:val="hybridMultilevel"/>
    <w:tmpl w:val="DE064AAC"/>
    <w:lvl w:ilvl="0" w:tplc="18FCFE3E">
      <w:start w:val="1"/>
      <w:numFmt w:val="bullet"/>
      <w:lvlText w:val="●"/>
      <w:lvlJc w:val="left"/>
      <w:pPr>
        <w:ind w:left="720" w:hanging="360"/>
      </w:pPr>
    </w:lvl>
    <w:lvl w:ilvl="1" w:tplc="191481FA">
      <w:start w:val="1"/>
      <w:numFmt w:val="bullet"/>
      <w:lvlText w:val="○"/>
      <w:lvlJc w:val="left"/>
      <w:pPr>
        <w:ind w:left="1440" w:hanging="360"/>
      </w:pPr>
    </w:lvl>
    <w:lvl w:ilvl="2" w:tplc="D360B8DC">
      <w:start w:val="1"/>
      <w:numFmt w:val="bullet"/>
      <w:lvlText w:val="■"/>
      <w:lvlJc w:val="left"/>
      <w:pPr>
        <w:ind w:left="2160" w:hanging="360"/>
      </w:pPr>
    </w:lvl>
    <w:lvl w:ilvl="3" w:tplc="4FB65F86">
      <w:start w:val="1"/>
      <w:numFmt w:val="bullet"/>
      <w:lvlText w:val="●"/>
      <w:lvlJc w:val="left"/>
      <w:pPr>
        <w:ind w:left="2880" w:hanging="360"/>
      </w:pPr>
    </w:lvl>
    <w:lvl w:ilvl="4" w:tplc="F8FED62C">
      <w:start w:val="1"/>
      <w:numFmt w:val="bullet"/>
      <w:lvlText w:val="○"/>
      <w:lvlJc w:val="left"/>
      <w:pPr>
        <w:ind w:left="3600" w:hanging="360"/>
      </w:pPr>
    </w:lvl>
    <w:lvl w:ilvl="5" w:tplc="1728BB8C">
      <w:start w:val="1"/>
      <w:numFmt w:val="bullet"/>
      <w:lvlText w:val="■"/>
      <w:lvlJc w:val="left"/>
      <w:pPr>
        <w:ind w:left="4320" w:hanging="360"/>
      </w:pPr>
    </w:lvl>
    <w:lvl w:ilvl="6" w:tplc="7AAEFB62">
      <w:start w:val="1"/>
      <w:numFmt w:val="bullet"/>
      <w:lvlText w:val="●"/>
      <w:lvlJc w:val="left"/>
      <w:pPr>
        <w:ind w:left="5040" w:hanging="360"/>
      </w:pPr>
    </w:lvl>
    <w:lvl w:ilvl="7" w:tplc="79E4A456">
      <w:start w:val="1"/>
      <w:numFmt w:val="bullet"/>
      <w:lvlText w:val="●"/>
      <w:lvlJc w:val="left"/>
      <w:pPr>
        <w:ind w:left="5760" w:hanging="360"/>
      </w:pPr>
    </w:lvl>
    <w:lvl w:ilvl="8" w:tplc="2A987580">
      <w:start w:val="1"/>
      <w:numFmt w:val="bullet"/>
      <w:lvlText w:val="●"/>
      <w:lvlJc w:val="left"/>
      <w:pPr>
        <w:ind w:left="6480" w:hanging="360"/>
      </w:pPr>
    </w:lvl>
  </w:abstractNum>
  <w:num w:numId="1" w16cid:durableId="408769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0A9"/>
    <w:rsid w:val="001A045A"/>
    <w:rsid w:val="00376DD7"/>
    <w:rsid w:val="003D53FF"/>
    <w:rsid w:val="007850A9"/>
    <w:rsid w:val="008B629A"/>
    <w:rsid w:val="00930620"/>
    <w:rsid w:val="00A36732"/>
    <w:rsid w:val="00B4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1D09"/>
  <w15:docId w15:val="{A826E103-9563-4BAA-8927-C4F4C39F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47D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DC8"/>
  </w:style>
  <w:style w:type="paragraph" w:styleId="Piedepgina">
    <w:name w:val="footer"/>
    <w:basedOn w:val="Normal"/>
    <w:link w:val="PiedepginaCar"/>
    <w:uiPriority w:val="99"/>
    <w:unhideWhenUsed/>
    <w:rsid w:val="00B47D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934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4</cp:revision>
  <dcterms:created xsi:type="dcterms:W3CDTF">2026-05-31T01:10:00Z</dcterms:created>
  <dcterms:modified xsi:type="dcterms:W3CDTF">2026-05-31T14:29:00Z</dcterms:modified>
</cp:coreProperties>
</file>