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1F3864" w:val="clear"/>
            <w:tcMar>
              <w:top w:type="dxa" w:w="70"/>
              <w:left w:type="dxa" w:w="100"/>
              <w:bottom w:type="dxa" w:w="70"/>
              <w:right w:type="dxa" w:w="100"/>
            </w:tcMar>
          </w:tcPr>
          <w:p>
            <w:r>
              <w:rPr>
                <w:b/>
                <w:bCs/>
                <w:color w:val="FFFFFF"/>
                <w:sz w:val="20"/>
                <w:szCs w:val="20"/>
              </w:rPr>
              <w:t xml:space="preserve">CERTUS PLD  |  D11-B — Casos Prácticos — Certus PLD</w:t>
            </w:r>
          </w:p>
        </w:tc>
      </w:tr>
    </w:tbl>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Mar>
              <w:top w:type="dxa" w:w="70"/>
              <w:left w:type="dxa" w:w="100"/>
              <w:bottom w:type="dxa" w:w="70"/>
              <w:right w:type="dxa" w:w="100"/>
            </w:tcMar>
          </w:tcPr>
          <w:p>
            <w:r>
              <w:rPr>
                <w:b w:val="false"/>
                <w:bCs w:val="false"/>
                <w:sz w:val="18"/>
                <w:szCs w:val="18"/>
              </w:rPr>
              <w:t xml:space="preserve">Empresa:</w:t>
            </w:r>
          </w:p>
        </w:tc>
        <w:tc>
          <w:tcPr>
            <w:tcW w:type="dxa" w:w="6800"/>
            <w:tcMar>
              <w:top w:type="dxa" w:w="70"/>
              <w:left w:type="dxa" w:w="100"/>
              <w:bottom w:type="dxa" w:w="70"/>
              <w:right w:type="dxa" w:w="100"/>
            </w:tcMar>
          </w:tcPr>
          <w:p>
            <w:r>
              <w:rPr>
                <w:b w:val="false"/>
                <w:bCs w:val="false"/>
                <w:sz w:val="18"/>
                <w:szCs w:val="18"/>
              </w:rPr>
              <w:t xml:space="preserve">[EMPRESA]</w:t>
            </w:r>
          </w:p>
        </w:tc>
      </w:tr>
      <w:tr>
        <w:tc>
          <w:tcPr>
            <w:tcW w:type="dxa" w:w="2800"/>
            <w:tcMar>
              <w:top w:type="dxa" w:w="70"/>
              <w:left w:type="dxa" w:w="100"/>
              <w:bottom w:type="dxa" w:w="70"/>
              <w:right w:type="dxa" w:w="100"/>
            </w:tcMar>
          </w:tcPr>
          <w:p>
            <w:r>
              <w:rPr>
                <w:b w:val="false"/>
                <w:bCs w:val="false"/>
                <w:sz w:val="18"/>
                <w:szCs w:val="18"/>
              </w:rPr>
              <w:t xml:space="preserve">Fecha:</w:t>
            </w:r>
          </w:p>
        </w:tc>
        <w:tc>
          <w:tcPr>
            <w:tcW w:type="dxa" w:w="6800"/>
            <w:tcMar>
              <w:top w:type="dxa" w:w="70"/>
              <w:left w:type="dxa" w:w="100"/>
              <w:bottom w:type="dxa" w:w="70"/>
              <w:right w:type="dxa" w:w="100"/>
            </w:tcMar>
          </w:tcPr>
          <w:p>
            <w:r>
              <w:rPr>
                <w:b w:val="false"/>
                <w:bCs w:val="false"/>
                <w:sz w:val="18"/>
                <w:szCs w:val="18"/>
              </w:rPr>
              <w:t xml:space="preserve">[Fecha]</w:t>
            </w:r>
          </w:p>
        </w:tc>
      </w:tr>
      <w:tr>
        <w:tc>
          <w:tcPr>
            <w:tcW w:type="dxa" w:w="2800"/>
            <w:tcMar>
              <w:top w:type="dxa" w:w="70"/>
              <w:left w:type="dxa" w:w="100"/>
              <w:bottom w:type="dxa" w:w="70"/>
              <w:right w:type="dxa" w:w="100"/>
            </w:tcMar>
          </w:tcPr>
          <w:p>
            <w:r>
              <w:rPr>
                <w:b w:val="false"/>
                <w:bCs w:val="false"/>
                <w:sz w:val="18"/>
                <w:szCs w:val="18"/>
              </w:rPr>
              <w:t xml:space="preserve">Uso:</w:t>
            </w:r>
          </w:p>
        </w:tc>
        <w:tc>
          <w:tcPr>
            <w:tcW w:type="dxa" w:w="6800"/>
            <w:tcMar>
              <w:top w:type="dxa" w:w="70"/>
              <w:left w:type="dxa" w:w="100"/>
              <w:bottom w:type="dxa" w:w="70"/>
              <w:right w:type="dxa" w:w="100"/>
            </w:tcMar>
          </w:tcPr>
          <w:p>
            <w:r>
              <w:rPr>
                <w:b w:val="false"/>
                <w:bCs w:val="false"/>
                <w:sz w:val="18"/>
                <w:szCs w:val="18"/>
              </w:rPr>
              <w:t xml:space="preserve">Material de capacitación presencial — Programa Certus PLD</w:t>
            </w:r>
          </w:p>
        </w:tc>
      </w:tr>
      <w:tr>
        <w:tc>
          <w:tcPr>
            <w:tcW w:type="dxa" w:w="2800"/>
            <w:tcMar>
              <w:top w:type="dxa" w:w="70"/>
              <w:left w:type="dxa" w:w="100"/>
              <w:bottom w:type="dxa" w:w="70"/>
              <w:right w:type="dxa" w:w="100"/>
            </w:tcMar>
          </w:tcPr>
          <w:p>
            <w:r>
              <w:rPr>
                <w:b w:val="false"/>
                <w:bCs w:val="false"/>
                <w:sz w:val="18"/>
                <w:szCs w:val="18"/>
              </w:rPr>
              <w:t xml:space="preserve">Elaboró:</w:t>
            </w:r>
          </w:p>
        </w:tc>
        <w:tc>
          <w:tcPr>
            <w:tcW w:type="dxa" w:w="6800"/>
            <w:tcMar>
              <w:top w:type="dxa" w:w="70"/>
              <w:left w:type="dxa" w:w="100"/>
              <w:bottom w:type="dxa" w:w="70"/>
              <w:right w:type="dxa" w:w="100"/>
            </w:tcMar>
          </w:tcPr>
          <w:p>
            <w:r>
              <w:rPr>
                <w:b w:val="false"/>
                <w:bCs w:val="false"/>
                <w:sz w:val="18"/>
                <w:szCs w:val="18"/>
              </w:rPr>
              <w:t xml:space="preserve">Espinosa-Salazar Abogados Corporativos │ Certus PLD</w:t>
            </w:r>
          </w:p>
        </w:tc>
      </w:tr>
      <w:tr>
        <w:tc>
          <w:tcPr>
            <w:tcW w:type="dxa" w:w="2800"/>
            <w:tcMar>
              <w:top w:type="dxa" w:w="70"/>
              <w:left w:type="dxa" w:w="100"/>
              <w:bottom w:type="dxa" w:w="70"/>
              <w:right w:type="dxa" w:w="100"/>
            </w:tcMar>
          </w:tcPr>
          <w:p>
            <w:r>
              <w:rPr>
                <w:b w:val="false"/>
                <w:bCs w:val="false"/>
                <w:sz w:val="18"/>
                <w:szCs w:val="18"/>
              </w:rPr>
              <w:t xml:space="preserve">Contacto:</w:t>
            </w:r>
          </w:p>
        </w:tc>
        <w:tc>
          <w:tcPr>
            <w:tcW w:type="dxa" w:w="6800"/>
            <w:tcMar>
              <w:top w:type="dxa" w:w="70"/>
              <w:left w:type="dxa" w:w="100"/>
              <w:bottom w:type="dxa" w:w="70"/>
              <w:right w:type="dxa" w:w="100"/>
            </w:tcMar>
          </w:tcPr>
          <w:p>
            <w:r>
              <w:rPr>
                <w:b w:val="false"/>
                <w:bCs w:val="false"/>
                <w:sz w:val="18"/>
                <w:szCs w:val="18"/>
              </w:rPr>
              <w:t xml:space="preserve">contacto@certusconsultores.com.mx │ 999 163 1363</w:t>
            </w:r>
          </w:p>
        </w:tc>
      </w:tr>
      <w:tr>
        <w:tc>
          <w:tcPr>
            <w:tcW w:type="dxa" w:w="2800"/>
            <w:tcMar>
              <w:top w:type="dxa" w:w="70"/>
              <w:left w:type="dxa" w:w="100"/>
              <w:bottom w:type="dxa" w:w="70"/>
              <w:right w:type="dxa" w:w="100"/>
            </w:tcMar>
          </w:tcPr>
          <w:p>
            <w:r>
              <w:rPr>
                <w:b w:val="false"/>
                <w:bCs w:val="false"/>
                <w:sz w:val="18"/>
                <w:szCs w:val="18"/>
              </w:rPr>
              <w:t xml:space="preserve">Instrucciones:</w:t>
            </w:r>
          </w:p>
        </w:tc>
        <w:tc>
          <w:tcPr>
            <w:tcW w:type="dxa" w:w="6800"/>
            <w:tcMar>
              <w:top w:type="dxa" w:w="70"/>
              <w:left w:type="dxa" w:w="100"/>
              <w:bottom w:type="dxa" w:w="70"/>
              <w:right w:type="dxa" w:w="100"/>
            </w:tcMar>
          </w:tcPr>
          <w:p>
            <w:r>
              <w:rPr>
                <w:b w:val="false"/>
                <w:bCs w:val="false"/>
                <w:sz w:val="18"/>
                <w:szCs w:val="18"/>
              </w:rPr>
              <w:t xml:space="preserve">Leer cada caso en grupo, responder las preguntas antes de revisar la respuesta modelo</w:t>
            </w:r>
          </w:p>
        </w:tc>
      </w:tr>
    </w:tbl>
    <w:p>
      <w:pPr>
        <w:spacing w:after="200"/>
      </w:pPr>
    </w:p>
    <w:p>
      <w:pPr>
        <w:shd w:fill="FFF2CC" w:val="clear"/>
        <w:spacing w:after="240"/>
      </w:pPr>
      <w:r>
        <w:rPr>
          <w:b/>
          <w:bCs/>
          <w:sz w:val="19"/>
          <w:szCs w:val="19"/>
        </w:rPr>
        <w:t xml:space="preserve">Nota de actualización regulatoria: </w:t>
      </w:r>
      <w:r>
        <w:rPr>
          <w:i/>
          <w:iCs/>
          <w:sz w:val="19"/>
          <w:szCs w:val="19"/>
        </w:rPr>
        <w:t xml:space="preserve">se agregó el Caso 7, correspondiente al nuevo Módulo 7 del Programa Anual de Capacitación (D11), sobre las obligaciones incorporadas por el Acuerdo 115/2026 (DOF 07/08/2026): Grado de Riesgo, Beneficiario Controlador y auditoría anual obligatoria.</w:t>
      </w:r>
    </w:p>
    <w:p>
      <w:pPr>
        <w:spacing w:after="120"/>
      </w:pPr>
      <w:r>
        <w:rPr>
          <w:sz w:val="20"/>
          <w:szCs w:val="20"/>
        </w:rPr>
        <w:t xml:space="preserve">Los siguientes 7 casos prácticos están diseñados para reforzar el aprendizaje del Programa Certus PLD a través de situaciones reales del sector inmobiliario. Cada caso presenta una situación típica, preguntas de análisis y una respuesta modelo detallada.</w:t>
      </w:r>
    </w:p>
    <w:p>
      <w:pPr>
        <w:pStyle w:val="Heading2"/>
        <w:spacing w:after="120" w:before="320"/>
      </w:pPr>
      <w:r>
        <w:t xml:space="preserve">Caso 1: La preventa que activó todo</w:t>
      </w:r>
    </w:p>
    <w:p>
      <w:pPr>
        <w:spacing w:after="80" w:before="160"/>
      </w:pPr>
      <w:r>
        <w:rPr>
          <w:b/>
          <w:bCs/>
          <w:color w:val="B08D57"/>
          <w:sz w:val="21"/>
          <w:szCs w:val="21"/>
        </w:rPr>
        <w:t xml:space="preserve">Módulo 1 — Marco Normativo</w:t>
      </w:r>
    </w:p>
    <w:p>
      <w:pPr>
        <w:spacing w:after="120"/>
      </w:pPr>
      <w:r>
        <w:rPr>
          <w:sz w:val="20"/>
          <w:szCs w:val="20"/>
        </w:rPr>
        <w:t xml:space="preserve">Situación</w:t>
      </w:r>
    </w:p>
    <w:p>
      <w:pPr>
        <w:spacing w:after="120"/>
      </w:pPr>
      <w:r>
        <w:rPr>
          <w:sz w:val="20"/>
          <w:szCs w:val="20"/>
        </w:rPr>
        <w:t xml:space="preserve">Inmobiliaria Peninsular, S.A. de C.V. desarrolla un conjunto de 40 departamentos en Mérida. En agosto de 2025 lanzaron la preventa del proyecto. A la fecha nunca se han registrado ante el SAT como sujeto obligado PLD/FT porque consideraban que la ley "era solo para bancos". Un asesor externo les menciona que desde julio de 2025 la situación cambió.</w:t>
      </w:r>
    </w:p>
    <w:p>
      <w:pPr>
        <w:spacing w:after="120"/>
      </w:pPr>
      <w:r>
        <w:rPr>
          <w:sz w:val="20"/>
          <w:szCs w:val="20"/>
        </w:rPr>
        <w:t xml:space="preserve">Preguntas de análisis</w:t>
      </w:r>
    </w:p>
    <w:p>
      <w:pPr>
        <w:spacing w:after="120"/>
      </w:pPr>
      <w:r>
        <w:rPr>
          <w:sz w:val="20"/>
          <w:szCs w:val="20"/>
        </w:rPr>
        <w:t xml:space="preserve">1. ¿Desde qué fecha exacta le aplica la LFPIORPI a Inmobiliaria Peninsular?</w:t>
      </w:r>
    </w:p>
    <w:p>
      <w:pPr>
        <w:spacing w:after="120"/>
      </w:pPr>
      <w:r>
        <w:rPr>
          <w:sz w:val="20"/>
          <w:szCs w:val="20"/>
        </w:rPr>
        <w:t xml:space="preserve">2. ¿Qué fracción específicamente activó sus obligaciones?</w:t>
      </w:r>
    </w:p>
    <w:p>
      <w:pPr>
        <w:spacing w:after="120"/>
      </w:pPr>
      <w:r>
        <w:rPr>
          <w:sz w:val="20"/>
          <w:szCs w:val="20"/>
        </w:rPr>
        <w:t xml:space="preserve">3. ¿Requería la empresa tener muchas preventas o basta con una para que aplique la ley?</w:t>
      </w:r>
    </w:p>
    <w:p>
      <w:pPr>
        <w:spacing w:after="120"/>
      </w:pPr>
      <w:r>
        <w:rPr>
          <w:sz w:val="20"/>
          <w:szCs w:val="20"/>
        </w:rPr>
        <w:t xml:space="preserve">4. ¿Cuánto tiempo llevan en incumplimiento y cuál es su exposición máxima acumulada?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F2F2F2" w:val="clear"/>
            <w:tcMar>
              <w:top w:type="dxa" w:w="70"/>
              <w:left w:type="dxa" w:w="100"/>
              <w:bottom w:type="dxa" w:w="70"/>
              <w:right w:type="dxa" w:w="100"/>
            </w:tcMar>
          </w:tcPr>
          <w:p>
            <w:r>
              <w:rPr>
                <w:b w:val="false"/>
                <w:bCs w:val="false"/>
                <w:sz w:val="19"/>
                <w:szCs w:val="19"/>
              </w:rPr>
              <w:t xml:space="preserve">RESPUESTA MODELO — La LFPIORPI le aplica desde el 17 de julio de 2025, fecha en que entró en vigor la reforma que adicionó la Fracción V Bis: recepción de recursos destinados a un Desarrollo Inmobiliario para su venta o renta. La fracción no exige habitualidad, así que basta una sola preventa. Desde la primera aportación debía darse de alta en el Padrón, identificar a cada cliente y avisar las aportaciones de 8,025 UMA o más (~$941,413 MXN), pudiendo consolidar en un Aviso mensual las aportaciones del mismo desarrollo (Art. 24 Bis 1 RCG). Las multas no se calculan "por mes": se imponen por infracción — 200 a 2,000 UMA por cada incumplimiento del Art. 18 (registro, identificación, etc.) y 10,000 a 65,000 UMA ($1,173,100–$7,625,150) o del 10% al 100% del valor del acto por cada Aviso omitido (Arts. 53 y 54) —, por lo que con varias aportaciones avisables la exposición crece muy rápido. Conviene regularizar de inmediato y de forma espontánea para acogerse al Art. 55 (D0A).</w:t>
            </w:r>
          </w:p>
        </w:tc>
      </w:tr>
    </w:tbl>
    <w:p>
      <w:pPr>
        <w:pStyle w:val="Heading2"/>
        <w:spacing w:after="120" w:before="320"/>
      </w:pPr>
      <w:r>
        <w:t xml:space="preserve">Caso 2: El comprador en efectivo</w:t>
      </w:r>
    </w:p>
    <w:p>
      <w:pPr>
        <w:spacing w:after="80" w:before="160"/>
      </w:pPr>
      <w:r>
        <w:rPr>
          <w:b/>
          <w:bCs/>
          <w:color w:val="B08D57"/>
          <w:sz w:val="21"/>
          <w:szCs w:val="21"/>
        </w:rPr>
        <w:t xml:space="preserve">Módulo 2 — Señales de Alerta</w:t>
      </w:r>
    </w:p>
    <w:p>
      <w:pPr>
        <w:spacing w:after="120"/>
      </w:pPr>
      <w:r>
        <w:rPr>
          <w:sz w:val="20"/>
          <w:szCs w:val="20"/>
        </w:rPr>
        <w:t xml:space="preserve">Situación</w:t>
      </w:r>
    </w:p>
    <w:p>
      <w:pPr>
        <w:spacing w:after="120"/>
      </w:pPr>
      <w:r>
        <w:rPr>
          <w:sz w:val="20"/>
          <w:szCs w:val="20"/>
        </w:rPr>
        <w:t xml:space="preserve">Un ejecutivo de ventas recibe a un cliente que quiere comprar un departamento de $2,500,000 MXN. El cliente dice que tiene el dinero disponible en efectivo y que quiere cerrar el trato esa misma semana. Cuando el vendedor le pregunta a qué se dedica, el cliente responde vagamente que "tiene negocios". Al preguntar por el comprobante de domicilio, el cliente ofrece uno que parece de una ciudad diferente a donde vive.</w:t>
      </w:r>
    </w:p>
    <w:p>
      <w:pPr>
        <w:spacing w:after="120"/>
      </w:pPr>
      <w:r>
        <w:rPr>
          <w:sz w:val="20"/>
          <w:szCs w:val="20"/>
        </w:rPr>
        <w:t xml:space="preserve">Preguntas de análisis</w:t>
      </w:r>
    </w:p>
    <w:p>
      <w:pPr>
        <w:spacing w:after="120"/>
      </w:pPr>
      <w:r>
        <w:rPr>
          <w:sz w:val="20"/>
          <w:szCs w:val="20"/>
        </w:rPr>
        <w:t xml:space="preserve">1. ¿Cuántas señales de alerta identificas en esta situación?</w:t>
      </w:r>
    </w:p>
    <w:p>
      <w:pPr>
        <w:spacing w:after="120"/>
      </w:pPr>
      <w:r>
        <w:rPr>
          <w:sz w:val="20"/>
          <w:szCs w:val="20"/>
        </w:rPr>
        <w:t xml:space="preserve">2. ¿Puede el ejecutivo de ventas aceptar el pago en efectivo?</w:t>
      </w:r>
    </w:p>
    <w:p>
      <w:pPr>
        <w:spacing w:after="120"/>
      </w:pPr>
      <w:r>
        <w:rPr>
          <w:sz w:val="20"/>
          <w:szCs w:val="20"/>
        </w:rPr>
        <w:t xml:space="preserve">3. ¿Qué debe hacer el vendedor inmediatamente después de esta conversación?</w:t>
      </w:r>
    </w:p>
    <w:p>
      <w:pPr>
        <w:spacing w:after="120"/>
      </w:pPr>
      <w:r>
        <w:rPr>
          <w:sz w:val="20"/>
          <w:szCs w:val="20"/>
        </w:rPr>
        <w:t xml:space="preserve">4. ¿Se puede proceder con la operación sin KYC completo?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F2F2F2" w:val="clear"/>
            <w:tcMar>
              <w:top w:type="dxa" w:w="70"/>
              <w:left w:type="dxa" w:w="100"/>
              <w:bottom w:type="dxa" w:w="70"/>
              <w:right w:type="dxa" w:w="100"/>
            </w:tcMar>
          </w:tcPr>
          <w:p>
            <w:r>
              <w:rPr>
                <w:b w:val="false"/>
                <w:bCs w:val="false"/>
                <w:sz w:val="19"/>
                <w:szCs w:val="19"/>
              </w:rPr>
              <w:t xml:space="preserve">RESPUESTA MODELO — Se identifican al menos 4 señales de alerta: (1) pretensión de pagar en efectivo un departamento de $2,500,000 MXN, (2) origen de fondos no justificado ("tengo negocios"), (3) comprobante de domicilio inconsistente con el lugar de residencia declarado, (4) urgencia inusual para cerrar. Como el valor del inmueble es igual o superior a 8,025 UMA (~$941,413 MXN), la operación NO puede liquidarse en efectivo, ni total ni parcialmente (Art. 32, fr. I): el límite se mide contra el valor del inmueble, no contra la parte que se pague en efectivo. El vendedor debe escalar INMEDIATAMENTE al Representante de Cumplimiento y NO puede proceder sin KYC completo. Si se genera la sospecha, se presenta el Aviso dentro de las 24 horas siguientes, aun si la operación no se concreta (Art. 18, fr. VI; Art. 26 Bis RCG), documentándolo en un Reporte de Operación Inusual (D9).</w:t>
            </w:r>
          </w:p>
        </w:tc>
      </w:tr>
    </w:tbl>
    <w:p>
      <w:pPr>
        <w:pStyle w:val="Heading2"/>
        <w:spacing w:after="120" w:before="320"/>
      </w:pPr>
      <w:r>
        <w:t xml:space="preserve">Caso 3: El expediente incompleto</w:t>
      </w:r>
    </w:p>
    <w:p>
      <w:pPr>
        <w:spacing w:after="80" w:before="160"/>
      </w:pPr>
      <w:r>
        <w:rPr>
          <w:b/>
          <w:bCs/>
          <w:color w:val="B08D57"/>
          <w:sz w:val="21"/>
          <w:szCs w:val="21"/>
        </w:rPr>
        <w:t xml:space="preserve">Módulo 3 — KYC</w:t>
      </w:r>
    </w:p>
    <w:p>
      <w:pPr>
        <w:spacing w:after="120"/>
      </w:pPr>
      <w:r>
        <w:rPr>
          <w:sz w:val="20"/>
          <w:szCs w:val="20"/>
        </w:rPr>
        <w:t xml:space="preserve">Situación</w:t>
      </w:r>
    </w:p>
    <w:p>
      <w:pPr>
        <w:spacing w:after="120"/>
      </w:pPr>
      <w:r>
        <w:rPr>
          <w:sz w:val="20"/>
          <w:szCs w:val="20"/>
        </w:rPr>
        <w:t xml:space="preserve">El Representante de Cumplimiento revisa los expedientes KYC del mes. Encuentra que 5 de 12 expedientes del área de arrendamiento tienen la Sección C (origen de fondos) completamente en blanco. Cuando pregunta a los gestores, le responden que "los arrendatarios se negaron a proporcionar esa información" y que "no querían perder al cliente por pedirle más papeles".</w:t>
      </w:r>
    </w:p>
    <w:p>
      <w:pPr>
        <w:spacing w:after="120"/>
      </w:pPr>
      <w:r>
        <w:rPr>
          <w:sz w:val="20"/>
          <w:szCs w:val="20"/>
        </w:rPr>
        <w:t xml:space="preserve">Preguntas de análisis</w:t>
      </w:r>
    </w:p>
    <w:p>
      <w:pPr>
        <w:spacing w:after="120"/>
      </w:pPr>
      <w:r>
        <w:rPr>
          <w:sz w:val="20"/>
          <w:szCs w:val="20"/>
        </w:rPr>
        <w:t xml:space="preserve">1. ¿Es válido proceder con un arrendamiento sin completar el origen de fondos?</w:t>
      </w:r>
    </w:p>
    <w:p>
      <w:pPr>
        <w:spacing w:after="120"/>
      </w:pPr>
      <w:r>
        <w:rPr>
          <w:sz w:val="20"/>
          <w:szCs w:val="20"/>
        </w:rPr>
        <w:t xml:space="preserve">2. ¿Qué riesgo genera para la empresa tener expedientes con la Sección C en blanco?</w:t>
      </w:r>
    </w:p>
    <w:p>
      <w:pPr>
        <w:spacing w:after="120"/>
      </w:pPr>
      <w:r>
        <w:rPr>
          <w:sz w:val="20"/>
          <w:szCs w:val="20"/>
        </w:rPr>
        <w:t xml:space="preserve">3. ¿Cómo debe manejar el RC esta situación con los gestores?</w:t>
      </w:r>
    </w:p>
    <w:p>
      <w:pPr>
        <w:spacing w:after="120"/>
      </w:pPr>
      <w:r>
        <w:rPr>
          <w:sz w:val="20"/>
          <w:szCs w:val="20"/>
        </w:rPr>
        <w:t xml:space="preserve">4. ¿Qué debe hacerse con los contratos ya firmados que tienen expedientes incompletos?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F2F2F2" w:val="clear"/>
            <w:tcMar>
              <w:top w:type="dxa" w:w="70"/>
              <w:left w:type="dxa" w:w="100"/>
              <w:bottom w:type="dxa" w:w="70"/>
              <w:right w:type="dxa" w:w="100"/>
            </w:tcMar>
          </w:tcPr>
          <w:p>
            <w:r>
              <w:rPr>
                <w:b w:val="false"/>
                <w:bCs w:val="false"/>
                <w:sz w:val="19"/>
                <w:szCs w:val="19"/>
              </w:rPr>
              <w:t xml:space="preserve">RESPUESTA MODELO — NO es válido. El arrendamiento es una Relación de negocios: la identificación del cliente, la información sobre su actividad u ocupación y la política de conocimiento del cliente (Art. 18, frs. I y II, de la Ley; Cap. III Ter RCG) son obligaciones legales, no pasos opcionales. Si el cliente se niega a proporcionar la información, la empresa no debe celebrar el acto (Art. 21 de la Ley). Expedientes incompletos son incumplimientos del Art. 18, sancionables con 200 a 2,000 UMA ($23,462–$234,620) cada uno (Art. 54, fr. I). El RC debe: (1) capacitar a los gestores sobre la obligación legal, (2) explicar que la identificación protege a la empresa, (3) completar los expedientes de los contratos vigentes a la brevedad — y, si el arrendatario se niega, evaluar la terminación de la relación (D5, Cap. 16) y si procede un Aviso por sospecha —, y (4) documentar el hallazgo, que será materia de revisión en la auditoría anual obligatoria (D13).</w:t>
            </w:r>
          </w:p>
        </w:tc>
      </w:tr>
    </w:tbl>
    <w:p>
      <w:pPr>
        <w:pStyle w:val="Heading2"/>
        <w:spacing w:after="120" w:before="320"/>
      </w:pPr>
      <w:r>
        <w:t xml:space="preserve">Caso 4: El director de obras públicas</w:t>
      </w:r>
    </w:p>
    <w:p>
      <w:pPr>
        <w:spacing w:after="80" w:before="160"/>
      </w:pPr>
      <w:r>
        <w:rPr>
          <w:b/>
          <w:bCs/>
          <w:color w:val="B08D57"/>
          <w:sz w:val="21"/>
          <w:szCs w:val="21"/>
        </w:rPr>
        <w:t xml:space="preserve">Módulo 4 — PEP's</w:t>
      </w:r>
    </w:p>
    <w:p>
      <w:pPr>
        <w:spacing w:after="120"/>
      </w:pPr>
      <w:r>
        <w:rPr>
          <w:sz w:val="20"/>
          <w:szCs w:val="20"/>
        </w:rPr>
        <w:t xml:space="preserve">Situación</w:t>
      </w:r>
    </w:p>
    <w:p>
      <w:pPr>
        <w:spacing w:after="120"/>
      </w:pPr>
      <w:r>
        <w:rPr>
          <w:sz w:val="20"/>
          <w:szCs w:val="20"/>
        </w:rPr>
        <w:t xml:space="preserve">Un prospecto llega a comprar una casa de $4,500,000 MXN. Al llenar el formulario de datos, menciona que es "Director de Obras Públicas del Municipio". El asesor de ventas considera que es un buen cliente porque tiene trabajo estable en gobierno y quiere proceder sin mayor trámite.</w:t>
      </w:r>
    </w:p>
    <w:p>
      <w:pPr>
        <w:spacing w:after="120"/>
      </w:pPr>
      <w:r>
        <w:rPr>
          <w:sz w:val="20"/>
          <w:szCs w:val="20"/>
        </w:rPr>
        <w:t xml:space="preserve">Preguntas de análisis</w:t>
      </w:r>
    </w:p>
    <w:p>
      <w:pPr>
        <w:spacing w:after="120"/>
      </w:pPr>
      <w:r>
        <w:rPr>
          <w:sz w:val="20"/>
          <w:szCs w:val="20"/>
        </w:rPr>
        <w:t xml:space="preserve">1. ¿Es este prospecto un PEP según la definición de la LFPIORPI?</w:t>
      </w:r>
    </w:p>
    <w:p>
      <w:pPr>
        <w:spacing w:after="120"/>
      </w:pPr>
      <w:r>
        <w:rPr>
          <w:sz w:val="20"/>
          <w:szCs w:val="20"/>
        </w:rPr>
        <w:t xml:space="preserve">2. ¿Puede el asesor de ventas aprobar la operación por su cuenta?</w:t>
      </w:r>
    </w:p>
    <w:p>
      <w:pPr>
        <w:spacing w:after="120"/>
      </w:pPr>
      <w:r>
        <w:rPr>
          <w:sz w:val="20"/>
          <w:szCs w:val="20"/>
        </w:rPr>
        <w:t xml:space="preserve">3. ¿Qué documentación adicional debe solicitarse?</w:t>
      </w:r>
    </w:p>
    <w:p>
      <w:pPr>
        <w:spacing w:after="120"/>
      </w:pPr>
      <w:r>
        <w:rPr>
          <w:sz w:val="20"/>
          <w:szCs w:val="20"/>
        </w:rPr>
        <w:t xml:space="preserve">4. ¿Existe alguna razón automática para no operar con este cliente?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F2F2F2" w:val="clear"/>
            <w:tcMar>
              <w:top w:type="dxa" w:w="70"/>
              <w:left w:type="dxa" w:w="100"/>
              <w:bottom w:type="dxa" w:w="70"/>
              <w:right w:type="dxa" w:w="100"/>
            </w:tcMar>
          </w:tcPr>
          <w:p>
            <w:r>
              <w:rPr>
                <w:b w:val="false"/>
                <w:bCs w:val="false"/>
                <w:sz w:val="19"/>
                <w:szCs w:val="19"/>
              </w:rPr>
              <w:t xml:space="preserve">RESPUESTA MODELO — Sí, el Director de Obras Públicas Municipal ES un PEP — es un funcionario público con cargo prominente. El asesor de ventas NO puede aprobar la operación por su cuenta; debe escalar al RC inmediatamente. Documentación adicional requerida: declaración fiscal de los últimos 2 años y estados de cuenta bancarios de los últimos 6 meses para verificar congruencia del precio de compra con el nivel de ingresos del cargo. No existe una razón automática para no operar — un PEP puede ser cliente siempre que se apliquen las medidas reforzadas; si además resulta de Grado de Riesgo alto, la operación requiere la aprobación de un directivo antes de formalizarse (Art. 23 Ter 5 RCG).</w:t>
            </w:r>
          </w:p>
        </w:tc>
      </w:tr>
    </w:tbl>
    <w:p>
      <w:pPr>
        <w:pStyle w:val="Heading2"/>
        <w:spacing w:after="120" w:before="320"/>
      </w:pPr>
      <w:r>
        <w:t xml:space="preserve">Caso 5: La bodega industrial</w:t>
      </w:r>
    </w:p>
    <w:p>
      <w:pPr>
        <w:spacing w:after="80" w:before="160"/>
      </w:pPr>
      <w:r>
        <w:rPr>
          <w:b/>
          <w:bCs/>
          <w:color w:val="B08D57"/>
          <w:sz w:val="21"/>
          <w:szCs w:val="21"/>
        </w:rPr>
        <w:t xml:space="preserve">Módulo 5 — Arrendamiento</w:t>
      </w:r>
    </w:p>
    <w:p>
      <w:pPr>
        <w:spacing w:after="120"/>
      </w:pPr>
      <w:r>
        <w:rPr>
          <w:sz w:val="20"/>
          <w:szCs w:val="20"/>
        </w:rPr>
        <w:t xml:space="preserve">Situación</w:t>
      </w:r>
    </w:p>
    <w:p>
      <w:pPr>
        <w:spacing w:after="120"/>
      </w:pPr>
      <w:r>
        <w:rPr>
          <w:sz w:val="20"/>
          <w:szCs w:val="20"/>
        </w:rPr>
        <w:t xml:space="preserve">La empresa administra una bodega industrial que arrendó por $220,000 MXN mensuales. El arrendatario paga puntualmente y nunca ha causado problemas. El RC nuevo, al revisar el expediente, descubre que no existe ningún expediente KYC del arrendatario porque "siempre ha pagado bien" y "es una empresa conocida de la región".</w:t>
      </w:r>
    </w:p>
    <w:p>
      <w:pPr>
        <w:spacing w:after="120"/>
      </w:pPr>
      <w:r>
        <w:rPr>
          <w:sz w:val="20"/>
          <w:szCs w:val="20"/>
        </w:rPr>
        <w:t xml:space="preserve">Preguntas de análisis</w:t>
      </w:r>
    </w:p>
    <w:p>
      <w:pPr>
        <w:spacing w:after="120"/>
      </w:pPr>
      <w:r>
        <w:rPr>
          <w:sz w:val="20"/>
          <w:szCs w:val="20"/>
        </w:rPr>
        <w:t xml:space="preserve">1. ¿La renta de $220,000 MXN activa obligaciones bajo la LFPIORPI?</w:t>
      </w:r>
    </w:p>
    <w:p>
      <w:pPr>
        <w:spacing w:after="120"/>
      </w:pPr>
      <w:r>
        <w:rPr>
          <w:sz w:val="20"/>
          <w:szCs w:val="20"/>
        </w:rPr>
        <w:t xml:space="preserve">2. ¿La reputación positiva del arrendatario exime de la obligación de KYC?</w:t>
      </w:r>
    </w:p>
    <w:p>
      <w:pPr>
        <w:spacing w:after="120"/>
      </w:pPr>
      <w:r>
        <w:rPr>
          <w:sz w:val="20"/>
          <w:szCs w:val="20"/>
        </w:rPr>
        <w:t xml:space="preserve">3. ¿Se debe presentar Aviso al SAT por este arrendamiento?</w:t>
      </w:r>
    </w:p>
    <w:p>
      <w:pPr>
        <w:spacing w:after="120"/>
      </w:pPr>
      <w:r>
        <w:rPr>
          <w:sz w:val="20"/>
          <w:szCs w:val="20"/>
        </w:rPr>
        <w:t xml:space="preserve">4. ¿Cómo regularizar esta situación?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F2F2F2" w:val="clear"/>
            <w:tcMar>
              <w:top w:type="dxa" w:w="70"/>
              <w:left w:type="dxa" w:w="100"/>
              <w:bottom w:type="dxa" w:w="70"/>
              <w:right w:type="dxa" w:w="100"/>
            </w:tcMar>
          </w:tcPr>
          <w:p>
            <w:r>
              <w:rPr>
                <w:b w:val="false"/>
                <w:bCs w:val="false"/>
                <w:sz w:val="19"/>
                <w:szCs w:val="19"/>
              </w:rPr>
              <w:t xml:space="preserve">RESPUESTA MODELO — Sí. $220,000 MXN supera el umbral de identificación de 1,605 UMA ($188,283 MXN) de la Fracción XV, por lo que el arrendatario DEBE ser identificado con expediente KYC completo, incluyendo la clasificación de su Grado de Riesgo (D6) y, si es persona moral, la identificación de su Beneficiario Controlador (D7, Sección E). La buena reputación o el historial de pagos no exime de la obligación legal. Respecto al Aviso: $220,000 MXN está por debajo del umbral de Aviso de 3,210 UMA ($376,565 MXN), por lo que no se presenta Aviso pero sí se requiere KYC. Para regularizar: integrar el expediente D7 del arrendatario a la brevedad y documentar el hallazgo, que quedará sujeto a revisión en la próxima auditoría anual.</w:t>
            </w:r>
          </w:p>
        </w:tc>
      </w:tr>
    </w:tbl>
    <w:p>
      <w:pPr>
        <w:pStyle w:val="Heading2"/>
        <w:spacing w:after="120" w:before="320"/>
      </w:pPr>
      <w:r>
        <w:t xml:space="preserve">Caso 6: El aviso que no se presentó</w:t>
      </w:r>
    </w:p>
    <w:p>
      <w:pPr>
        <w:spacing w:after="80" w:before="160"/>
      </w:pPr>
      <w:r>
        <w:rPr>
          <w:b/>
          <w:bCs/>
          <w:color w:val="B08D57"/>
          <w:sz w:val="21"/>
          <w:szCs w:val="21"/>
        </w:rPr>
        <w:t xml:space="preserve">Módulo 6 — Reportes y Avisos</w:t>
      </w:r>
    </w:p>
    <w:p>
      <w:pPr>
        <w:spacing w:after="120"/>
      </w:pPr>
      <w:r>
        <w:rPr>
          <w:sz w:val="20"/>
          <w:szCs w:val="20"/>
        </w:rPr>
        <w:t xml:space="preserve">Situación</w:t>
      </w:r>
    </w:p>
    <w:p>
      <w:pPr>
        <w:spacing w:after="120"/>
      </w:pPr>
      <w:r>
        <w:rPr>
          <w:sz w:val="20"/>
          <w:szCs w:val="20"/>
        </w:rPr>
        <w:t xml:space="preserve">Es día 20 del mes. El RC revisa el libro D12 y se da cuenta de que en el mes anterior cerró una operación de compraventa por $1,200,000 MXN que supera el umbral de Aviso, pero no presentó el aviso al SAT porque "se le olvidó" entre las vacaciones de fin de año. Consulta con el director si "conviene presentarlo tarde o mejor no presentarlo para no llamar la atención".</w:t>
      </w:r>
    </w:p>
    <w:p>
      <w:pPr>
        <w:spacing w:after="120"/>
      </w:pPr>
      <w:r>
        <w:rPr>
          <w:sz w:val="20"/>
          <w:szCs w:val="20"/>
        </w:rPr>
        <w:t xml:space="preserve">Preguntas de análisis</w:t>
      </w:r>
    </w:p>
    <w:p>
      <w:pPr>
        <w:spacing w:after="120"/>
      </w:pPr>
      <w:r>
        <w:rPr>
          <w:sz w:val="20"/>
          <w:szCs w:val="20"/>
        </w:rPr>
        <w:t xml:space="preserve">1. ¿Qué recomendación correcta debe dar el RC ante esta situación?</w:t>
      </w:r>
    </w:p>
    <w:p>
      <w:pPr>
        <w:spacing w:after="120"/>
      </w:pPr>
      <w:r>
        <w:rPr>
          <w:sz w:val="20"/>
          <w:szCs w:val="20"/>
        </w:rPr>
        <w:t xml:space="preserve">2. ¿Cuál es la diferencia legal entre presentar el aviso tarde y no presentarlo?</w:t>
      </w:r>
    </w:p>
    <w:p>
      <w:pPr>
        <w:spacing w:after="120"/>
      </w:pPr>
      <w:r>
        <w:rPr>
          <w:sz w:val="20"/>
          <w:szCs w:val="20"/>
        </w:rPr>
        <w:t xml:space="preserve">3. ¿Cómo afecta la actuación espontánea a esta situación?</w:t>
      </w:r>
    </w:p>
    <w:p>
      <w:pPr>
        <w:spacing w:after="120"/>
      </w:pPr>
      <w:r>
        <w:rPr>
          <w:sz w:val="20"/>
          <w:szCs w:val="20"/>
        </w:rPr>
        <w:t xml:space="preserve">4. ¿Qué debe registrar en el libro D12?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F2F2F2" w:val="clear"/>
            <w:tcMar>
              <w:top w:type="dxa" w:w="70"/>
              <w:left w:type="dxa" w:w="100"/>
              <w:bottom w:type="dxa" w:w="70"/>
              <w:right w:type="dxa" w:w="100"/>
            </w:tcMar>
          </w:tcPr>
          <w:p>
            <w:r>
              <w:rPr>
                <w:b w:val="false"/>
                <w:bCs w:val="false"/>
                <w:sz w:val="19"/>
                <w:szCs w:val="19"/>
              </w:rPr>
              <w:t xml:space="preserve">RESPUESTA MODELO — La recomendación correcta es presentar el aviso inmediatamente, aunque sea extemporáneo. No presentarlo es PEOR que presentarlo tarde: el Aviso presentado dentro de los 30 días siguientes al plazo se sanciona con 200 a 2,000 UMA (Arts. 53, fr. III, y 54, fr. I), mientras que, vencidos esos 30 días, la falta se sanciona como omisión — 10,000 a 65,000 UMA o del 10% al 100% del valor del acto (Art. 54, fr. III). Si se presenta de manera espontánea, antes de que el SAT inicie facultades de verificación y reconociendo la falta, la empresa puede acogerse al Art. 55 de la Ley (abstención de sancionar por única ocasión o, si ya se ejerció, reducción de hasta 50% de la multa). En el libro D12 debe registrarse la operación, la fecha en que debía presentarse el aviso, la fecha en que se presentó realmente y una nota explicando el retraso. Este hallazgo debe documentarse también en el D13.</w:t>
            </w:r>
          </w:p>
        </w:tc>
      </w:tr>
    </w:tbl>
    <w:p>
      <w:pPr>
        <w:pStyle w:val="Heading2"/>
        <w:spacing w:after="120" w:before="320"/>
      </w:pPr>
      <w:r>
        <w:t xml:space="preserve">Caso 7: La sociedad que no quiere declarar a su socio mayoritario</w:t>
      </w:r>
    </w:p>
    <w:p>
      <w:pPr>
        <w:spacing w:after="80" w:before="160"/>
      </w:pPr>
      <w:r>
        <w:rPr>
          <w:b/>
          <w:bCs/>
          <w:color w:val="B08D57"/>
          <w:sz w:val="21"/>
          <w:szCs w:val="21"/>
        </w:rPr>
        <w:t xml:space="preserve">Módulo 7 — Reforma RCG 2026: EBR, Grado de Riesgo y Beneficiario Controlador</w:t>
      </w:r>
    </w:p>
    <w:p>
      <w:pPr>
        <w:spacing w:after="120"/>
      </w:pPr>
      <w:r>
        <w:rPr>
          <w:sz w:val="20"/>
          <w:szCs w:val="20"/>
        </w:rPr>
        <w:t xml:space="preserve">Situación</w:t>
      </w:r>
    </w:p>
    <w:p>
      <w:pPr>
        <w:spacing w:after="120"/>
      </w:pPr>
      <w:r>
        <w:rPr>
          <w:sz w:val="20"/>
          <w:szCs w:val="20"/>
        </w:rPr>
        <w:t xml:space="preserve">Una persona moral constituida hace 8 meses se presenta como cliente para la compra de un departamento de $2,800,000 MXN. Tiene tres accionistas: dos personas físicas mexicanas con 30% cada una, y una persona física con 40% que es residente de un país que la legislación mexicana considera de régimen fiscal preferente. El vendedor, que nunca había manejado este tipo de caso, no sabe si debe pedir información adicional sobre el accionista del 40% ni cómo clasificar el riesgo de la operación.</w:t>
      </w:r>
    </w:p>
    <w:p>
      <w:pPr>
        <w:spacing w:after="120"/>
      </w:pPr>
      <w:r>
        <w:rPr>
          <w:sz w:val="20"/>
          <w:szCs w:val="20"/>
        </w:rPr>
        <w:t xml:space="preserve">Preguntas de análisis</w:t>
      </w:r>
    </w:p>
    <w:p>
      <w:pPr>
        <w:spacing w:after="120"/>
      </w:pPr>
      <w:r>
        <w:rPr>
          <w:sz w:val="20"/>
          <w:szCs w:val="20"/>
        </w:rPr>
        <w:t xml:space="preserve">1. ¿Debe identificarse al Beneficiario Controlador en este caso, y quién sería?</w:t>
      </w:r>
    </w:p>
    <w:p>
      <w:pPr>
        <w:spacing w:after="120"/>
      </w:pPr>
      <w:r>
        <w:rPr>
          <w:sz w:val="20"/>
          <w:szCs w:val="20"/>
        </w:rPr>
        <w:t xml:space="preserve">2. ¿Qué Grado de Riesgo corresponde a esta operación, y por qué?</w:t>
      </w:r>
    </w:p>
    <w:p>
      <w:pPr>
        <w:spacing w:after="120"/>
      </w:pPr>
      <w:r>
        <w:rPr>
          <w:sz w:val="20"/>
          <w:szCs w:val="20"/>
        </w:rPr>
        <w:t xml:space="preserve">3. ¿Aplica alguna clasificación obligatoria de Riesgo alto, independientemente del puntaje EBR?</w:t>
      </w:r>
    </w:p>
    <w:p>
      <w:pPr>
        <w:spacing w:after="120"/>
      </w:pPr>
      <w:r>
        <w:rPr>
          <w:sz w:val="20"/>
          <w:szCs w:val="20"/>
        </w:rPr>
        <w:t xml:space="preserve">4. ¿Qué documentos del Kit debe usar el vendedor para resolver correctamente este caso?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F2F2F2" w:val="clear"/>
            <w:tcMar>
              <w:top w:type="dxa" w:w="70"/>
              <w:left w:type="dxa" w:w="100"/>
              <w:bottom w:type="dxa" w:w="70"/>
              <w:right w:type="dxa" w:w="100"/>
            </w:tcMar>
          </w:tcPr>
          <w:p>
            <w:r>
              <w:rPr>
                <w:b w:val="false"/>
                <w:bCs w:val="false"/>
                <w:sz w:val="19"/>
                <w:szCs w:val="19"/>
              </w:rPr>
              <w:t xml:space="preserve">RESPUESTA MODELO — Sí debe identificarse: el accionista con 40% supera el umbral del 25% del capital social, por lo que es Beneficiario Controlador directo por titularidad (Art. 23 Quinquies RCG; ver D7, Sección E, y D14). El Art. 23 Bis 4 de las RCG obliga a clasificar como riesgo ALTO a los clientes no residentes vinculados con jurisdicciones de régimen fiscal preferente; aquí el cliente es una persona moral mexicana, pero su Beneficiario Controlador está en ese supuesto, por lo que el Programa la clasifica como riesgo ALTO por criterio prudencial, con independencia de la puntuación de la matriz EBR (D6, Sección VII). Esto exige: documentar las razones de la operación, aplicar debida diligencia reforzada (D5, Cap. 6) y, si además el accionista fuera PEP extranjero, obtener la aprobación de un directivo antes de operar (D8, Sección V). El vendedor debe usar D6 (clasificación), D7 (expediente y Beneficiario Controlador) y D14 (metodología detallada de identificación).</w:t>
            </w:r>
          </w:p>
        </w:tc>
      </w:tr>
    </w:tbl>
    <w:p>
      <w:pPr>
        <w:spacing w:before="300"/>
      </w:pPr>
      <w:r>
        <w:rPr>
          <w:color w:val="888888"/>
          <w:sz w:val="16"/>
          <w:szCs w:val="16"/>
        </w:rPr>
        <w:t xml:space="preserve">Certus Consultores | Certus PLD | Mérida, Yucatán | 999 163 1363</w:t>
      </w:r>
    </w:p>
    <w:sectPr>
      <w:headerReference w:type="default" r:id="rId8"/>
      <w:footerReference w:type="default" r:id="rId9"/>
      <w:headerReference w:type="first" r:id="rId10"/>
      <w:footerReference w:type="first" r:id="rId11"/>
      <w:headerReference w:type="even" r:id="rId12"/>
      <w:footerReference w:type="even" r:id="rId13"/>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B08D57" w:sz="6" w:space="4"/>
      </w:pBdr>
      <w:spacing w:after="120" w:before="260"/>
    </w:pPr>
    <w:rPr>
      <w:rFonts w:ascii="Calibri" w:cs="Calibri" w:eastAsia="Calibri" w:hAnsi="Calibri"/>
      <w:b/>
      <w:bCs/>
      <w:color w:val="1F3864"/>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2026-08-11T14:40:14.102Z</dcterms:created>
  <dcterms:modified xsi:type="dcterms:W3CDTF">2026-08-11T14:40:14.113Z</dcterms:modified>
</cp:coreProperties>
</file>

<file path=docProps/custom.xml><?xml version="1.0" encoding="utf-8"?>
<Properties xmlns="http://schemas.openxmlformats.org/officeDocument/2006/custom-properties" xmlns:vt="http://schemas.openxmlformats.org/officeDocument/2006/docPropsVTypes"/>
</file>