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CERTUS PLD  |  D3 — Expediente de Registro ante el SAT (Portal en Internet / SPPLD)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Empresa: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[EMPRESA]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Versión: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2.0 — Actualizada conforme al Acuerdo 115/2026 (DOF 07/08/2026)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Elaboró: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Certus Consultores │ Certus PLD</w:t>
            </w:r>
          </w:p>
        </w:tc>
      </w:tr>
    </w:tbl>
    <w:p>
      <w:pPr>
        <w:spacing w:after="200"/>
      </w:pPr>
    </w:p>
    <w:p>
      <w:pPr>
        <w:shd w:fill="FFF2CC" w:val="clear"/>
        <w:spacing w:after="240"/>
      </w:pPr>
      <w:r>
        <w:rPr>
          <w:b/>
          <w:bCs/>
          <w:sz w:val="19"/>
          <w:szCs w:val="19"/>
        </w:rPr>
        <w:t xml:space="preserve">Nota de actualización regulatoria: </w:t>
      </w:r>
      <w:r>
        <w:rPr>
          <w:i/>
          <w:iCs/>
          <w:sz w:val="19"/>
          <w:szCs w:val="19"/>
        </w:rPr>
        <w:t xml:space="preserve">esta versión incorpora el Capítulo II Ter ("Alta y Registro de Quienes Actúen por Medio de Fideicomisos y Otras Figuras Jurídicas", Art. 10 Sexies y 10 Sexies 1) y las precisiones al Capítulo II de las Reglas de Carácter General reformadas por el Acuerdo 115/2026 (DOF 07/08/2026). Aplica de forma inmediata a partir del 30 de noviembre de 2026, salvo lo indicado en cada sección.</w:t>
      </w:r>
    </w:p>
    <w:p>
      <w:pPr>
        <w:pStyle w:val="Heading2"/>
        <w:spacing w:after="120" w:before="320"/>
      </w:pPr>
      <w:r>
        <w:t xml:space="preserve">I. Información general del trámite</w:t>
      </w:r>
    </w:p>
    <w:p>
      <w:pPr>
        <w:spacing w:after="120"/>
      </w:pPr>
      <w:r>
        <w:rPr>
          <w:sz w:val="20"/>
          <w:szCs w:val="20"/>
        </w:rPr>
        <w:t xml:space="preserve">El alta y registro en el Padrón de quienes realizan Actividades Vulnerables, a través del Portal en Internet (comúnmente identificado como SPPLD), es una obligación establecida en el artículo 18, fracción IV Bis, de la LFPIORPI y en el artículo 4 de las Reglas de Carácter General. Este expediente documenta el proceso completo de registro. La fecha de registro es relevante para acreditar la actuación espontánea y el beneficio del Art. 55 de la LFPIORPI (abstención de sancionar por única ocasión o reducción de hasta 50% de las multas).</w:t>
      </w:r>
    </w:p>
    <w:p>
      <w:pPr>
        <w:spacing w:after="120"/>
      </w:pPr>
      <w:r>
        <w:rPr>
          <w:sz w:val="20"/>
          <w:szCs w:val="20"/>
        </w:rPr>
        <w:t xml:space="preserve">El trámite de alta y registro se firma con la Firma Electrónica Avanzada (FIEL) de quien realiza la Actividad Vulnerable. Cuando [EMPRESA] sea persona moral, fideicomiso o actúe a través de otra figura jurídica, deberá utilizar la FIEL asociada a su propio Registro Federal de Contribuyentes — no puede utilizarse la FIEL del representante legal, de los fideicomitentes ni de los apoderados legales (Art. 4, penúltimo párrafo RCG).</w:t>
      </w:r>
    </w:p>
    <w:p>
      <w:pPr>
        <w:pStyle w:val="Heading2"/>
        <w:spacing w:after="120" w:before="320"/>
      </w:pPr>
      <w:r>
        <w:t xml:space="preserve">II. Requisitos documentales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2.1 Documentos corporativos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Acta constitutiva (copia simple + copia certificada)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Poder notarial del Representante Legal vigente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Identificación oficial del Representante Legal (INE/IFE o pasaporte)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Comprobante de domicilio fiscal (no mayor a 3 meses)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Constancia de situación fiscal vigente (RFC)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2.2 Documentos del Representante de Cumplimiento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Identificación oficial vigente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CURP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Acta de Designación (Documento D2 del Programa Certus PLD)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Comprobante de domicilio personal</w:t>
      </w:r>
    </w:p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El Representante Encargado de Cumplimiento debe ser, en todo caso, una persona física (Art. 10, último párrafo RCG).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2.3 Documentos de la actividad regulada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Descripción de actividades inmobiliarias (compraventa, desarrollo, arrendamiento)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Declaración de las fracciones LFPIORPI bajo las que opera (V, V Bis, XV)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2.4 Si [EMPRESA] actúa a través de un fideicomiso (Anexo 2 Bis RCG)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Número, identificador o referencia del fideicomiso, fecha de constitución y RFC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Datos del fiduciario (denominación, RFC) y del delegado fiduciario persona física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Datos de los fideicomitentes (persona física, moral o fideicomiso)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Datos de los fideicomisarios, y si están determinados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2.5 Si [EMPRESA] actúa a través de otra figura jurídica, p. ej. Asociación en Participación (Anexo 2 Ter RCG)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Número o referencia, tipo y descripción de la figura jurídica, fecha de creación y RFC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Datos de cada integrante (asociante, asociado u otro), persona física o moral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Cuando se trate de Asociación en Participación, el asociante es responsable del trámite de alta y registro, utilizando la FIEL asociada al RFC de la Asociación (Art. 10 Sexies 1 RCG)</w:t>
      </w:r>
    </w:p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Las Secciones 2.4 y 2.5 son de nueva incorporación conforme al Capítulo II Ter de las RCG. Aplican con frecuencia a desarrollos inmobiliarios estructurados mediante fideicomiso.</w:t>
      </w:r>
    </w:p>
    <w:p>
      <w:pPr>
        <w:pStyle w:val="Heading2"/>
        <w:spacing w:after="120" w:before="320"/>
      </w:pPr>
      <w:r>
        <w:t xml:space="preserve">III. Proceso de registro paso a paso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8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Ingresar al Portal en Internet: https://ppld.sat.gob.mx con la FIEL asociada al RFC propio de la empresa (no la del representante legal)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Repr. Legal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Día 1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Seleccionar "Alta de Sujeto Obligado" — Actividad: Inmobiliaria. Si aplica, seleccionar la modalidad de fideicomiso u otra figura jurídica (Anexos 2 Bis / 2 Ter)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Repr. Legal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Día 1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Capturar datos de la empresa y actividades LFPIORPI (Fracc. V, V Bis, XV)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Repr. Cumpl.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Día 1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Registrar la designación del Representante de Cumplimiento (persona física); este la acepta en el Portal con su RFC y e.firma (Art. 10 RCG)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Repr. Cumpl.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Día 1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Adjuntar la documentación en los formatos y medios que determine la Secretaría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Repr. Cumpl.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Día 1-2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Enviar solicitud y obtener acuse de recibo con sello digital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Repr. Cumpl.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Día 2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Recibir el acuse de alta y registro con sello digital y el acceso a los medios electrónicos del Portal (Art. 5 RCG)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SAT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Según notificación del SAT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Aceptar expresamente, al firmar el alta, que la UIF o el SAT realicen notificaciones electrónicas por el Portal en Internet (Art. 6 RCG)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Repr. Legal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 firmar el alta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Archivar constancia de registro en el expediente Certus PLD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Repr. Cumpl.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 recibir el acuse</w:t>
            </w:r>
          </w:p>
        </w:tc>
      </w:tr>
    </w:tbl>
    <w:p>
      <w:pPr>
        <w:pStyle w:val="Heading2"/>
        <w:spacing w:after="120" w:before="320"/>
      </w:pPr>
      <w:r>
        <w:t xml:space="preserve">IV. Control de registro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 de figura registrada: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Persona física   [ ] Persona moral   [ ] Fideicomiso   [ ] Otra figura jurídica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ingreso al Portal: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Número de folio de solicitud: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del acuse de alta y registro: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Número de registro SPPLD: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 de acceso al portal: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Clave de acceso (referencia):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Resguardada en [ubicación segura]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Última actualización de datos (Art. 7 RCG):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Soporte técnico Certus PLD: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contacto@certusconsultores.com.mx │ 999 163 1363</w:t>
            </w:r>
          </w:p>
        </w:tc>
      </w:tr>
    </w:tbl>
    <w:p>
      <w:pPr>
        <w:pStyle w:val="Heading2"/>
        <w:spacing w:after="120" w:before="320"/>
      </w:pPr>
      <w:r>
        <w:t xml:space="preserve">V. Obligaciones posteriores al registro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Actualizar los datos en el Portal en Internet dentro de los 6 días hábiles siguientes a que se presente el hecho o circunstancia que motive el cambio (Art. 7 RCG).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Consultar el Portal en Internet al menos una vez cada día hábil; las notificaciones electrónicas se tienen por realizadas al cuarto día hábil siguiente a su envío, y se cuenta con 3 días hábiles para abrir los documentos pendientes (Art. 6 RCG).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Atender los requerimientos de información o documentación que formule el SAT dentro de los 10 días hábiles siguientes a la notificación, prorrogables hasta por 5 días hábiles adicionales a solicitud del interesado (Art. 9 RCG).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Dar de baja el registro cuando la empresa deje de realizar la Actividad Vulnerable, mediante el trámite de actualización correspondiente (Art. 8 RCG).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 Manual de Políticas Internas (D5) debe estar elaborado a los noventa días naturales del alta y registro (Art. 37 RCG).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Usar el Portal en Internet para la presentación de Avisos e Informes.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Conservar constancia del registro y acuses durante 10 años (D10).</w:t>
      </w:r>
    </w:p>
    <w:p>
      <w:pPr>
        <w:spacing w:before="300"/>
      </w:pPr>
      <w:r>
        <w:rPr>
          <w:color w:val="888888"/>
          <w:sz w:val="16"/>
          <w:szCs w:val="16"/>
        </w:rPr>
        <w:t xml:space="preserve">Certus Consultores | Certus PLD | Mérida, Yucatán | 999 163 1363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B08D57" w:sz="6" w:space="4"/>
      </w:pBdr>
      <w:spacing w:after="120" w:before="260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2026-08-11T14:19:21.230Z</dcterms:created>
  <dcterms:modified xsi:type="dcterms:W3CDTF">2026-08-11T14:19:21.230Z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