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CERTUS PLD  |  D6 — Metodología de Enfoque Basado en Riesgo (EBR)</w:t>
            </w:r>
          </w:p>
        </w:tc>
      </w:tr>
    </w:tbl>
    <w:p>
      <w:pPr>
        <w:spacing w:after="12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Empresa:</w:t>
            </w:r>
          </w:p>
        </w:tc>
        <w:tc>
          <w:tcPr>
            <w:tcW w:type="dxa" w:w="7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[EMPRESA]</w:t>
            </w:r>
          </w:p>
        </w:tc>
      </w:tr>
      <w:t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Versión:</w:t>
            </w:r>
          </w:p>
        </w:tc>
        <w:tc>
          <w:tcPr>
            <w:tcW w:type="dxa" w:w="7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2.0 — Actualizada conforme al Acuerdo 115/2026 (DOF 07/08/2026)</w:t>
            </w:r>
          </w:p>
        </w:tc>
      </w:tr>
      <w:t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Fecha de adopción:</w:t>
            </w:r>
          </w:p>
        </w:tc>
        <w:tc>
          <w:tcPr>
            <w:tcW w:type="dxa" w:w="7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[Fecha]</w:t>
            </w:r>
          </w:p>
        </w:tc>
      </w:tr>
      <w:t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Elaboró:</w:t>
            </w:r>
          </w:p>
        </w:tc>
        <w:tc>
          <w:tcPr>
            <w:tcW w:type="dxa" w:w="7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Certus Consultores │ Certus PLD</w:t>
            </w:r>
          </w:p>
        </w:tc>
      </w:tr>
      <w:t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Contacto:</w:t>
            </w:r>
          </w:p>
        </w:tc>
        <w:tc>
          <w:tcPr>
            <w:tcW w:type="dxa" w:w="7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contacto@certusconsultores.com.mx │ 999 163 1363</w:t>
            </w:r>
          </w:p>
        </w:tc>
      </w:tr>
      <w:t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Vigencia:</w:t>
            </w:r>
          </w:p>
        </w:tc>
        <w:tc>
          <w:tcPr>
            <w:tcW w:type="dxa" w:w="7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Anual — revisión obligatoria cada 12 meses, o antes si se identifican nuevos Riesgos o se actualiza la Evaluación Nacional de Riesgos</w:t>
            </w:r>
          </w:p>
        </w:tc>
      </w:tr>
    </w:tbl>
    <w:p>
      <w:pPr>
        <w:spacing w:after="200"/>
      </w:pPr>
    </w:p>
    <w:p>
      <w:pPr>
        <w:shd w:fill="FFF2CC" w:val="clear"/>
        <w:spacing w:after="240"/>
      </w:pPr>
      <w:r>
        <w:rPr>
          <w:b/>
          <w:bCs/>
          <w:sz w:val="19"/>
          <w:szCs w:val="19"/>
        </w:rPr>
        <w:t xml:space="preserve">Nota de actualización regulatoria: </w:t>
      </w:r>
      <w:r>
        <w:rPr>
          <w:i/>
          <w:iCs/>
          <w:sz w:val="19"/>
          <w:szCs w:val="19"/>
        </w:rPr>
        <w:t xml:space="preserve">esta versión incorpora el Capítulo II Quáter ("Enfoque Basado en Riesgos", Art. 10 Septies a 10 Septies 6) y el Capítulo III Bis ("Clasificación del Grado de Riesgo de la Persona Cliente o Usuaria", Art. 23 Bis a 23 Bis 4) de las Reglas de Carácter General reformadas por el Acuerdo 115/2026 (DOF 07/08/2026). Esta metodología debe estar documentada por escrito y a disposición de la autoridad a partir del 1 de marzo de 2027.</w:t>
      </w:r>
    </w:p>
    <w:p>
      <w:pPr>
        <w:pStyle w:val="Heading2"/>
        <w:spacing w:after="120" w:before="320"/>
      </w:pPr>
      <w:r>
        <w:t xml:space="preserve">I. Objetivo y marco normativo</w:t>
      </w:r>
    </w:p>
    <w:p>
      <w:pPr>
        <w:spacing w:after="120"/>
      </w:pPr>
      <w:r>
        <w:rPr>
          <w:sz w:val="20"/>
          <w:szCs w:val="20"/>
        </w:rPr>
        <w:t xml:space="preserve">La Metodología EBR establece el procedimiento para la evaluación, clasificación y gestión del Riesgo PLD/FT de los Clientes o Usuarias de [EMPRESA], en cumplimiento del artículo 18, fracción VII de la LFPIORPI, y del Capítulo II Quáter de las Reglas de Carácter General (RCG). Cada cliente se evalúa mediante 7 indicadores agrupados en los 4 elementos de Riesgo que exige el Art. 10 Septies 1 de las RCG, con una ponderación diferenciada por elemento, produciendo una puntuación total que determina su Grado de Riesgo individual conforme al Capítulo III Bis de las RCG.</w:t>
      </w:r>
    </w:p>
    <w:p>
      <w:pPr>
        <w:pStyle w:val="Heading2"/>
        <w:spacing w:after="120" w:before="320"/>
      </w:pPr>
      <w:r>
        <w:t xml:space="preserve">II. Fuente y periodo de datos</w:t>
      </w:r>
    </w:p>
    <w:p>
      <w:pPr>
        <w:spacing w:after="120"/>
      </w:pPr>
      <w:r>
        <w:rPr>
          <w:sz w:val="20"/>
          <w:szCs w:val="20"/>
        </w:rPr>
        <w:t xml:space="preserve">La metodología se alimenta con información correspondiente a un periodo no menor a doce meses del total de Clientes o Usuarias, número de actos u operaciones y monto operado por [EMPRESA] (Art. 10 Septies 2, fr. II RCG). Cuando la empresa no cuente con operaciones dentro de dicho periodo — por tratarse de una empresa de nueva creación o reciente registro — la metodología se implementará inicialmente con datos proyectados, debiendo actualizarse al cumplir sus primeros doce meses de operación.</w:t>
      </w:r>
    </w:p>
    <w:p>
      <w:pPr>
        <w:spacing w:after="120"/>
      </w:pPr>
      <w:r>
        <w:rPr>
          <w:sz w:val="20"/>
          <w:szCs w:val="20"/>
        </w:rPr>
        <w:t xml:space="preserve">La información utilizada en esta metodología debe ser consistente con la que obre en los mecanismos automatizados de [EMPRESA] (Capítulo 18 del Documento D5); cualquier inconsistencia detectada deberá corregirse de forma inmediata.</w:t>
      </w:r>
    </w:p>
    <w:p>
      <w:pPr>
        <w:pStyle w:val="Heading2"/>
        <w:spacing w:after="120" w:before="320"/>
      </w:pPr>
      <w:r>
        <w:t xml:space="preserve">III. Elementos e indicadores de Riesgo</w:t>
      </w:r>
    </w:p>
    <w:p>
      <w:pPr>
        <w:spacing w:after="120"/>
      </w:pPr>
      <w:r>
        <w:rPr>
          <w:sz w:val="20"/>
          <w:szCs w:val="20"/>
        </w:rPr>
        <w:t xml:space="preserve">Conforme al Art. 10 Septies 1, fracción I de las RCG, la metodología identifica indicadores dentro de los cuatro elementos de Riesgo siguientes. A cada elemento se asigna una ponderación (peso) en función de su importancia relativa para explicar la exposición al Riesgo de [EMPRESA]; a cada indicador se asigna una calificación individual de 1 (bajo) a 3 (alto).</w:t>
      </w:r>
    </w:p>
    <w:p>
      <w:pPr>
        <w:spacing w:after="80" w:before="160"/>
      </w:pPr>
      <w:r>
        <w:rPr>
          <w:b/>
          <w:bCs/>
          <w:color w:val="B08D57"/>
          <w:sz w:val="21"/>
          <w:szCs w:val="21"/>
        </w:rPr>
        <w:t xml:space="preserve">Elemento A — Actos u operaciones (peso ×1.5)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4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Indicador</w:t>
            </w:r>
          </w:p>
        </w:tc>
        <w:tc>
          <w:tcPr>
            <w:tcW w:type="dxa" w:w="24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Bajo (1)</w:t>
            </w:r>
          </w:p>
        </w:tc>
        <w:tc>
          <w:tcPr>
            <w:tcW w:type="dxa" w:w="24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Medio (2)</w:t>
            </w:r>
          </w:p>
        </w:tc>
        <w:tc>
          <w:tcPr>
            <w:tcW w:type="dxa" w:w="24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Alto (3)</w:t>
            </w:r>
          </w:p>
        </w:tc>
      </w:tr>
      <w:t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A1. Tipo de operación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Compraventa de inmueble residencial para uso propio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Inversión inmobiliaria habitual o arrendamiento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Múltiples adquisiciones, permutas, operaciones de preventa de alto valor</w:t>
            </w:r>
          </w:p>
        </w:tc>
      </w:tr>
      <w:t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A2. Monto de la operación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Menor a 4,000 UMA (~$469,240 MXN)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Entre 4,000 y 8,025 UMA (~$469,240 a $941,413 MXN)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Igual o superior a 8,025 UMA (≥$941,413 MXN) — umbral de Aviso de las fracc. V y V Bis; en arrendamiento, renta mensual de 3,210 UMA o más</w:t>
            </w:r>
          </w:p>
        </w:tc>
      </w:tr>
      <w:t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A3. Origen y destino de los recursos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Recursos propios comprobables (nómina, actividad empresarial documentada)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Fondos mixtos o préstamo familiar documentado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Fondos en efectivo, criptoactivos o procedencia no acreditada</w:t>
            </w:r>
          </w:p>
        </w:tc>
      </w:tr>
    </w:tbl>
    <w:p>
      <w:pPr>
        <w:spacing w:after="80" w:before="160"/>
      </w:pPr>
      <w:r>
        <w:rPr>
          <w:b/>
          <w:bCs/>
          <w:color w:val="B08D57"/>
          <w:sz w:val="21"/>
          <w:szCs w:val="21"/>
        </w:rPr>
        <w:t xml:space="preserve">Elemento B — Tipo de persona Cliente o Usuaria (peso ×1.25)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4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Indicador</w:t>
            </w:r>
          </w:p>
        </w:tc>
        <w:tc>
          <w:tcPr>
            <w:tcW w:type="dxa" w:w="24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Bajo (1)</w:t>
            </w:r>
          </w:p>
        </w:tc>
        <w:tc>
          <w:tcPr>
            <w:tcW w:type="dxa" w:w="24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Medio (2)</w:t>
            </w:r>
          </w:p>
        </w:tc>
        <w:tc>
          <w:tcPr>
            <w:tcW w:type="dxa" w:w="24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Alto (3)</w:t>
            </w:r>
          </w:p>
        </w:tc>
      </w:tr>
      <w:t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B1. Perfil del cliente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PF residente en México con identificación verificada; PM con estructura simple y BC identificado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PF con fondos de fuente no habitual o PM de reciente constitución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PM con estructura compleja, Beneficiario Controlador difícil de identificar, o cliente no residente</w:t>
            </w:r>
          </w:p>
        </w:tc>
      </w:tr>
      <w:t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B2. Vínculo con PEP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Sin vínculo con PEP declarado y verificado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Familiar de PEP o vínculo patrimonial indirecto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El propio cliente es PEP nacional o extranjero</w:t>
            </w:r>
          </w:p>
        </w:tc>
      </w:tr>
    </w:tbl>
    <w:p>
      <w:pPr>
        <w:spacing w:after="80" w:before="160"/>
      </w:pPr>
      <w:r>
        <w:rPr>
          <w:b/>
          <w:bCs/>
          <w:color w:val="B08D57"/>
          <w:sz w:val="21"/>
          <w:szCs w:val="21"/>
        </w:rPr>
        <w:t xml:space="preserve">Elemento C — Países y áreas geográficas (peso ×1.0)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4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Indicador</w:t>
            </w:r>
          </w:p>
        </w:tc>
        <w:tc>
          <w:tcPr>
            <w:tcW w:type="dxa" w:w="24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Bajo (1)</w:t>
            </w:r>
          </w:p>
        </w:tc>
        <w:tc>
          <w:tcPr>
            <w:tcW w:type="dxa" w:w="24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Medio (2)</w:t>
            </w:r>
          </w:p>
        </w:tc>
        <w:tc>
          <w:tcPr>
            <w:tcW w:type="dxa" w:w="24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Alto (3)</w:t>
            </w:r>
          </w:p>
        </w:tc>
      </w:tr>
      <w:t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C1. Zona geográfica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Zona residencial o comercial convencional, en entidad sin alerta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Zona fronteriza, turística de alta densidad o con alerta moderada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Zona con alta incidencia delictiva, o vinculada a jurisdicción de régimen fiscal preferente / lista GAFI</w:t>
            </w:r>
          </w:p>
        </w:tc>
      </w:tr>
    </w:tbl>
    <w:p>
      <w:pPr>
        <w:spacing w:after="80" w:before="160"/>
      </w:pPr>
      <w:r>
        <w:rPr>
          <w:b/>
          <w:bCs/>
          <w:color w:val="B08D57"/>
          <w:sz w:val="21"/>
          <w:szCs w:val="21"/>
        </w:rPr>
        <w:t xml:space="preserve">Elemento D — Transacciones y canales de envío o distribución (peso ×1.0)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4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Indicador</w:t>
            </w:r>
          </w:p>
        </w:tc>
        <w:tc>
          <w:tcPr>
            <w:tcW w:type="dxa" w:w="24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Bajo (1)</w:t>
            </w:r>
          </w:p>
        </w:tc>
        <w:tc>
          <w:tcPr>
            <w:tcW w:type="dxa" w:w="24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Medio (2)</w:t>
            </w:r>
          </w:p>
        </w:tc>
        <w:tc>
          <w:tcPr>
            <w:tcW w:type="dxa" w:w="24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Alto (3)</w:t>
            </w:r>
          </w:p>
        </w:tc>
      </w:tr>
      <w:t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D1. Canal utilizado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Operación formalizada de manera presencial, directamente con el cliente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Operación con participación parcial de medios remotos o digitales, cliente plenamente identificado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Operación formalizada a distancia, a través de apoderado sin relación previa documentada, o mediante intermediarios no identificados plenamente</w:t>
            </w:r>
          </w:p>
        </w:tc>
      </w:tr>
    </w:tbl>
    <w:p>
      <w:pPr>
        <w:spacing w:after="160" w:before="60"/>
      </w:pPr>
      <w:r>
        <w:rPr>
          <w:i/>
          <w:iCs/>
          <w:color w:val="666666"/>
          <w:sz w:val="19"/>
          <w:szCs w:val="19"/>
        </w:rPr>
        <w:t xml:space="preserve">El Elemento D es de nueva incorporación conforme al Art. 10 Septies 1, fr. I, inciso d) de las RCG reformadas.</w:t>
      </w:r>
    </w:p>
    <w:p>
      <w:pPr>
        <w:pStyle w:val="Heading2"/>
        <w:spacing w:after="120" w:before="320"/>
      </w:pPr>
      <w:r>
        <w:t xml:space="preserve">IV. Indicadores específicos para financiamiento al terrorismo y lavado de dinero</w:t>
      </w:r>
    </w:p>
    <w:p>
      <w:pPr>
        <w:spacing w:after="120"/>
      </w:pPr>
      <w:r>
        <w:rPr>
          <w:sz w:val="20"/>
          <w:szCs w:val="20"/>
        </w:rPr>
        <w:t xml:space="preserve">Conforme al Art. 10 Septies 1, penúltimo párrafo de las RCG, la metodología incorpora indicadores específicos vinculados a los delitos previstos en los artículos 139 Quáter (financiamiento al terrorismo) y 400 Bis (operaciones con recursos de procedencia ilícita) del Código Penal Federal, dentro de cada uno de los cuatro elementos: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4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Elemento</w:t>
            </w:r>
          </w:p>
        </w:tc>
        <w:tc>
          <w:tcPr>
            <w:tcW w:type="dxa" w:w="36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Indicador — financiamiento al terrorismo (139 Quáter)</w:t>
            </w:r>
          </w:p>
        </w:tc>
        <w:tc>
          <w:tcPr>
            <w:tcW w:type="dxa" w:w="36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Indicador — lavado de dinero (400 Bis)</w:t>
            </w:r>
          </w:p>
        </w:tc>
      </w:tr>
      <w:t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A. Actos u operaciones</w:t>
            </w:r>
          </w:p>
        </w:tc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Fraccionamiento de pagos para evitar umbrales de identificación o Aviso; pagos de terceros sin relación aparente con el cliente</w:t>
            </w:r>
          </w:p>
        </w:tc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Aportaciones a un desarrollo por debajo del valor de mercado, seguidas de solicitud de reembolso o cesión a un tercero no relacionado</w:t>
            </w:r>
          </w:p>
        </w:tc>
      </w:tr>
      <w:t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B. Tipo de cliente</w:t>
            </w:r>
          </w:p>
        </w:tc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Cliente o Beneficiario Controlador con vínculos declarados o presuntos con organizaciones catalogadas como terroristas por autoridad nacional o internacional</w:t>
            </w:r>
          </w:p>
        </w:tc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Estructuras corporativas opacas o multijurisdiccionales sin justificación de negocio aparente</w:t>
            </w:r>
          </w:p>
        </w:tc>
      </w:tr>
      <w:t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C. Geografía</w:t>
            </w:r>
          </w:p>
        </w:tc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Recursos u operaciones vinculados a zonas de conflicto o jurisdicciones señaladas por la ONU o el GAFI en materia de financiamiento al terrorismo</w:t>
            </w:r>
          </w:p>
        </w:tc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Recursos u operaciones vinculados a jurisdicciones de riesgo alto para lavado de dinero conforme al Art. 23 Bis 4 de las RCG</w:t>
            </w:r>
          </w:p>
        </w:tc>
      </w:tr>
      <w:t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D. Canales</w:t>
            </w:r>
          </w:p>
        </w:tc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Uso de intermediarios anónimos o plataformas sin trazabilidad para el envío de recursos</w:t>
            </w:r>
          </w:p>
        </w:tc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Cadenas de transferencias sucesivas entre cuentas de terceros previas al pago a la empresa</w:t>
            </w:r>
          </w:p>
        </w:tc>
      </w:tr>
    </w:tbl>
    <w:p>
      <w:pPr>
        <w:pStyle w:val="Heading2"/>
        <w:spacing w:after="120" w:before="320"/>
      </w:pPr>
      <w:r>
        <w:t xml:space="preserve">V. Mitigantes identificados</w:t>
      </w:r>
    </w:p>
    <w:p>
      <w:pPr>
        <w:spacing w:after="120"/>
      </w:pPr>
      <w:r>
        <w:rPr>
          <w:sz w:val="20"/>
          <w:szCs w:val="20"/>
        </w:rPr>
        <w:t xml:space="preserve">[EMPRESA] cuenta con los siguientes Mitigantes — políticas, criterios, medidas y procedimientos que contribuyen a administrar y disminuir la exposición a los Riesgos identificados (Art. 10 Septies 1, fr. III, y Art. 3, fr. XI Quinquies RCG). Su efectiva aplicación se documenta en el Manual de Políticas Internas (Documento D5):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Integración obligatoria del expediente único de identificación antes de formalizar cualquier acto u operación (D5, Cap. 4).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Debida diligencia reforzada automática para clientes de Grado de Riesgo alto (D5, Cap. 6).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Consulta de listas de PEP y de autoridades nacionales/internacionales antes de operar (D5, Caps. 8 y 15).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Sistema de alertas sobre desviaciones del Perfil Transaccional (D5, Cap. 9).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Aprobación de un directivo para operaciones con clientes PEP de Riesgo alto (D5, Cap. 8).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Capacitación anual obligatoria del personal que participa en la identificación de clientes y el envío de Avisos (D5, Cap. 17).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Auditoría anual del programa de cumplimiento (D5, Cap. 19).</w:t>
      </w:r>
    </w:p>
    <w:p>
      <w:pPr>
        <w:spacing w:after="120"/>
      </w:pPr>
      <w:r>
        <w:rPr>
          <w:sz w:val="20"/>
          <w:szCs w:val="20"/>
        </w:rPr>
        <w:t xml:space="preserve">Cuando la implementación de esta metodología revele Riesgos mayores o nuevos no cubiertos por los Mitigantes anteriores, [EMPRESA] deberá modificar sus políticas, criterios, medidas o procedimientos dentro de un plazo no mayor a doce meses contados a partir de que cuente con los resultados de la implementación (Art. 10 Septies 2, párrafos tercero y cuarto RCG), documentando el año y mes en que se obtuvieron dichos resultados.</w:t>
      </w:r>
    </w:p>
    <w:p>
      <w:pPr>
        <w:pStyle w:val="Heading2"/>
        <w:spacing w:after="120" w:before="320"/>
      </w:pPr>
      <w:r>
        <w:t xml:space="preserve">VI. Cálculo de la puntuación ponderada y clasificación del Grado de Riesgo</w:t>
      </w:r>
    </w:p>
    <w:p>
      <w:pPr>
        <w:spacing w:after="120"/>
      </w:pPr>
      <w:r>
        <w:rPr>
          <w:sz w:val="20"/>
          <w:szCs w:val="20"/>
        </w:rPr>
        <w:t xml:space="preserve">La puntuación de cada elemento se obtiene sumando la calificación (1 a 3) de sus indicadores y multiplicando el resultado por el peso del elemento. La puntuación total del cliente es la suma de las puntuaciones ponderadas de los cuatro elementos.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6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Elemento</w:t>
            </w:r>
          </w:p>
        </w:tc>
        <w:tc>
          <w:tcPr>
            <w:tcW w:type="dxa" w:w="20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Peso</w:t>
            </w:r>
          </w:p>
        </w:tc>
        <w:tc>
          <w:tcPr>
            <w:tcW w:type="dxa" w:w="20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Rango bruto</w:t>
            </w:r>
          </w:p>
        </w:tc>
        <w:tc>
          <w:tcPr>
            <w:tcW w:type="dxa" w:w="20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Rango ponderado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A. Actos u operaciones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×1.5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 – 9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4.5 – 13.5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B. Tipo de cliente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×1.25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 – 6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2.5 – 7.5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C. Geografía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×1.0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 – 3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 – 3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D. Canales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×1.0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 – 3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 – 3</w:t>
            </w:r>
          </w:p>
        </w:tc>
      </w:tr>
    </w:tbl>
    <w:p>
      <w:pPr>
        <w:spacing w:after="120"/>
      </w:pPr>
      <w:r>
        <w:rPr>
          <w:sz w:val="20"/>
          <w:szCs w:val="20"/>
        </w:rPr>
        <w:t xml:space="preserve">Rango total posible: 9 a 27 puntos ponderados.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4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Puntuación ponderada</w:t>
            </w:r>
          </w:p>
        </w:tc>
        <w:tc>
          <w:tcPr>
            <w:tcW w:type="dxa" w:w="24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Grado de Riesgo</w:t>
            </w:r>
          </w:p>
        </w:tc>
        <w:tc>
          <w:tcPr>
            <w:tcW w:type="dxa" w:w="48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Acciones requeridas</w:t>
            </w:r>
          </w:p>
        </w:tc>
      </w:tr>
      <w:t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9.00 a 15.00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BAJO — VERDE</w:t>
            </w:r>
          </w:p>
        </w:tc>
        <w:tc>
          <w:tcPr>
            <w:tcW w:type="dxa" w:w="4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Medidas simplificadas (D5, Cap. 6). Reevaluación del Grado de Riesgo cada 6 meses.</w:t>
            </w:r>
          </w:p>
        </w:tc>
      </w:tr>
      <w:t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15.01 a 21.00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MEDIO — AMARILLO</w:t>
            </w:r>
          </w:p>
        </w:tc>
        <w:tc>
          <w:tcPr>
            <w:tcW w:type="dxa" w:w="4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Expediente completo, monitoreo estándar (D5, Cap. 6). Reevaluación cada 6 meses.</w:t>
            </w:r>
          </w:p>
        </w:tc>
      </w:tr>
      <w:t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21.01 a 27.00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ALTO — ROJO</w:t>
            </w:r>
          </w:p>
        </w:tc>
        <w:tc>
          <w:tcPr>
            <w:tcW w:type="dxa" w:w="4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Debida diligencia reforzada, cuestionario reforzado, reporte al Representante de Cumplimiento, aprobación de directivo si además es PEP, y consideración de no operar (D5, Caps. 6, 8 y 16). Reevaluación cada 6 meses, con monitoreo más estricto en el intervalo.</w:t>
            </w:r>
          </w:p>
        </w:tc>
      </w:tr>
    </w:tbl>
    <w:p>
      <w:pPr>
        <w:pStyle w:val="Heading2"/>
        <w:spacing w:after="120" w:before="320"/>
      </w:pPr>
      <w:r>
        <w:t xml:space="preserve">VII. Clasificación obligatoria de Riesgo alto</w:t>
      </w:r>
    </w:p>
    <w:p>
      <w:pPr>
        <w:spacing w:after="120"/>
      </w:pPr>
      <w:r>
        <w:rPr>
          <w:sz w:val="20"/>
          <w:szCs w:val="20"/>
        </w:rPr>
        <w:t xml:space="preserve">Con independencia de la puntuación obtenida, [EMPRESA] clasificará como Riesgo alto, cuando menos, a los siguientes Clientes o Usuarias, conforme al Art. 23 Bis 4 de las RCG: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Personas no residentes en territorio mexicano vinculadas a países o jurisdicciones que la legislación mexicana considere de régimen fiscal preferente, o que autoridades mexicanas, organismos internacionales o agrupaciones intergubernamentales en materia PLD/FT (de los que México sea miembro) determinen que no cuentan con medidas adecuadas para prevenir, detectar y combatir estas operaciones.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Personas Políticamente Expuestas extranjeras.</w:t>
      </w:r>
    </w:p>
    <w:p>
      <w:pPr>
        <w:spacing w:after="120"/>
      </w:pPr>
      <w:r>
        <w:rPr>
          <w:sz w:val="20"/>
          <w:szCs w:val="20"/>
        </w:rPr>
        <w:t xml:space="preserve">En estos casos, [EMPRESA] deberá recabar y documentar las razones por las que el cliente celebró el acto u operación en territorio mexicano.</w:t>
      </w:r>
    </w:p>
    <w:p>
      <w:pPr>
        <w:pStyle w:val="Heading2"/>
        <w:spacing w:after="120" w:before="320"/>
      </w:pPr>
      <w:r>
        <w:t xml:space="preserve">VIII. Factores adicionales para Personas Políticamente Expuestas nacionales</w:t>
      </w:r>
    </w:p>
    <w:p>
      <w:pPr>
        <w:spacing w:after="120"/>
      </w:pPr>
      <w:r>
        <w:rPr>
          <w:sz w:val="20"/>
          <w:szCs w:val="20"/>
        </w:rPr>
        <w:t xml:space="preserve">Para clientes que sean PEP de nacionalidad mexicana, [EMPRESA] evaluará factores de Riesgo adicionales a los aplicables al resto de los clientes, con el fin de determinar si el comportamiento transaccional del cliente corresponde razonablemente con sus ingresos, funciones, nivel y responsabilidad, de acuerdo con la información disponible (Art. 23 Bis 3 RCG).</w:t>
      </w:r>
    </w:p>
    <w:p>
      <w:pPr>
        <w:pStyle w:val="Heading2"/>
        <w:spacing w:after="120" w:before="320"/>
      </w:pPr>
      <w:r>
        <w:t xml:space="preserve">IX. Reevaluación del cliente y revisión de la metodología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4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Elemento a revisar</w:t>
            </w:r>
          </w:p>
        </w:tc>
        <w:tc>
          <w:tcPr>
            <w:tcW w:type="dxa" w:w="26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Periodicidad</w:t>
            </w:r>
          </w:p>
        </w:tc>
        <w:tc>
          <w:tcPr>
            <w:tcW w:type="dxa" w:w="36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Fundamento</w:t>
            </w:r>
          </w:p>
        </w:tc>
      </w:tr>
      <w:tr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Grado de Riesgo del cliente (Ficha individual, Sección XI)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Cada 6 meses</w:t>
            </w:r>
          </w:p>
        </w:tc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Art. 23 Bis 1 RCG</w:t>
            </w:r>
          </w:p>
        </w:tc>
      </w:tr>
      <w:tr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Metodología EBR en su conjunto (este documento)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Cada 12 meses, o antes si se detectan nuevos Riesgos o la UIF actualiza la Evaluación Nacional de Riesgos</w:t>
            </w:r>
          </w:p>
        </w:tc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Art. 10 Septies 3 RCG</w:t>
            </w:r>
          </w:p>
        </w:tc>
      </w:tr>
      <w:tr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Ajuste de Mitigantes tras detectar mayores Riesgos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Dentro de los 12 meses siguientes a contar con los resultados de la implementación</w:t>
            </w:r>
          </w:p>
        </w:tc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Art. 10 Septies 2 RCG</w:t>
            </w:r>
          </w:p>
        </w:tc>
      </w:tr>
    </w:tbl>
    <w:p>
      <w:pPr>
        <w:spacing w:after="120"/>
      </w:pPr>
      <w:r>
        <w:rPr>
          <w:sz w:val="20"/>
          <w:szCs w:val="20"/>
        </w:rPr>
        <w:t xml:space="preserve">Toda revisión y actualización debe constar por escrito y estar a disposición del SAT o la UIF cuando lo requieran.</w:t>
      </w:r>
    </w:p>
    <w:p>
      <w:pPr>
        <w:pStyle w:val="Heading2"/>
        <w:spacing w:after="120" w:before="320"/>
      </w:pPr>
      <w:r>
        <w:t xml:space="preserve">X. Resguardo y disponibilidad ante autoridad</w:t>
      </w:r>
    </w:p>
    <w:p>
      <w:pPr>
        <w:spacing w:after="120"/>
      </w:pPr>
      <w:r>
        <w:rPr>
          <w:sz w:val="20"/>
          <w:szCs w:val="20"/>
        </w:rPr>
        <w:t xml:space="preserve">[EMPRESA] conservará la información y documentación generada con motivo de esta metodología —incluyendo las fichas individuales de evaluación y el historial de Grado de Riesgo de cada cliente— por un plazo no menor a diez años, y la proporcionará al SAT o a la UIF cuando así lo requieran (Art. 10 Septies 3 y Art. 41, fr. IV RCG). Ver Documento D10 — Política de Resguardo Documental.</w:t>
      </w:r>
    </w:p>
    <w:p>
      <w:pPr>
        <w:spacing w:after="120"/>
      </w:pPr>
      <w:r>
        <w:rPr>
          <w:sz w:val="20"/>
          <w:szCs w:val="20"/>
        </w:rPr>
        <w:t xml:space="preserve">Esta metodología, junto con el resto del Manual de Políticas Internas, debe estar a disposición de la autoridad a partir del 1 de marzo de 2027.</w:t>
      </w:r>
    </w:p>
    <w:p>
      <w:pPr>
        <w:pStyle w:val="Heading2"/>
        <w:spacing w:after="120" w:before="320"/>
      </w:pPr>
      <w:r>
        <w:t xml:space="preserve">XI. Ficha de Evaluación EBR por Cliente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Cliente:</w:t>
            </w:r>
          </w:p>
        </w:tc>
        <w:tc>
          <w:tcPr>
            <w:tcW w:type="dxa" w:w="6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[Nombre]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Tipo:</w:t>
            </w:r>
          </w:p>
        </w:tc>
        <w:tc>
          <w:tcPr>
            <w:tcW w:type="dxa" w:w="6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 ] PF    [ ] PM    [ ] Fideicomiso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Operación:</w:t>
            </w:r>
          </w:p>
        </w:tc>
        <w:tc>
          <w:tcPr>
            <w:tcW w:type="dxa" w:w="6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[Descripción]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Fecha de evaluación:</w:t>
            </w:r>
          </w:p>
        </w:tc>
        <w:tc>
          <w:tcPr>
            <w:tcW w:type="dxa" w:w="6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[Fecha]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Evaluador:</w:t>
            </w:r>
          </w:p>
        </w:tc>
        <w:tc>
          <w:tcPr>
            <w:tcW w:type="dxa" w:w="6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[Nombre del Representante de Cumplimiento]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Próxima reevaluación (6 meses):</w:t>
            </w:r>
          </w:p>
        </w:tc>
        <w:tc>
          <w:tcPr>
            <w:tcW w:type="dxa" w:w="6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[Fecha]</w:t>
            </w:r>
          </w:p>
        </w:tc>
      </w:tr>
    </w:tbl>
    <w:p>
      <w:pPr>
        <w:spacing w:after="120"/>
      </w:pP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Indicador</w:t>
            </w:r>
          </w:p>
        </w:tc>
        <w:tc>
          <w:tcPr>
            <w:tcW w:type="dxa" w:w="16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Calificación</w:t>
            </w:r>
          </w:p>
        </w:tc>
        <w:tc>
          <w:tcPr>
            <w:tcW w:type="dxa" w:w="48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Observaciones</w:t>
            </w:r>
          </w:p>
        </w:tc>
      </w:tr>
      <w:t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A1. Tipo de operación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 ] 1  [ ] 2  [ ] 3</w:t>
            </w:r>
          </w:p>
        </w:tc>
        <w:tc>
          <w:tcPr>
            <w:tcW w:type="dxa" w:w="4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A2. Monto de la operación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 ] 1  [ ] 2  [ ] 3</w:t>
            </w:r>
          </w:p>
        </w:tc>
        <w:tc>
          <w:tcPr>
            <w:tcW w:type="dxa" w:w="4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A3. Origen y destino de recursos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 ] 1  [ ] 2  [ ] 3</w:t>
            </w:r>
          </w:p>
        </w:tc>
        <w:tc>
          <w:tcPr>
            <w:tcW w:type="dxa" w:w="4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Subtotal A × 1.5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_____</w:t>
            </w:r>
          </w:p>
        </w:tc>
        <w:tc>
          <w:tcPr>
            <w:tcW w:type="dxa" w:w="4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B1. Perfil del cliente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 ] 1  [ ] 2  [ ] 3</w:t>
            </w:r>
          </w:p>
        </w:tc>
        <w:tc>
          <w:tcPr>
            <w:tcW w:type="dxa" w:w="4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B2. Vínculo con PEP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 ] 1  [ ] 2  [ ] 3</w:t>
            </w:r>
          </w:p>
        </w:tc>
        <w:tc>
          <w:tcPr>
            <w:tcW w:type="dxa" w:w="4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Subtotal B × 1.25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_____</w:t>
            </w:r>
          </w:p>
        </w:tc>
        <w:tc>
          <w:tcPr>
            <w:tcW w:type="dxa" w:w="4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C1. Zona geográfica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 ] 1  [ ] 2  [ ] 3</w:t>
            </w:r>
          </w:p>
        </w:tc>
        <w:tc>
          <w:tcPr>
            <w:tcW w:type="dxa" w:w="4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Subtotal C × 1.0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_____</w:t>
            </w:r>
          </w:p>
        </w:tc>
        <w:tc>
          <w:tcPr>
            <w:tcW w:type="dxa" w:w="4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D1. Canal utilizado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 ] 1  [ ] 2  [ ] 3</w:t>
            </w:r>
          </w:p>
        </w:tc>
        <w:tc>
          <w:tcPr>
            <w:tcW w:type="dxa" w:w="4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Subtotal D × 1.0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_____</w:t>
            </w:r>
          </w:p>
        </w:tc>
        <w:tc>
          <w:tcPr>
            <w:tcW w:type="dxa" w:w="4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TOTAL PONDERADO (9 a 27)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_____</w:t>
            </w:r>
          </w:p>
        </w:tc>
        <w:tc>
          <w:tcPr>
            <w:tcW w:type="dxa" w:w="4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Grado de Riesgo: [ ] BAJO  [ ] MEDIO  [ ] ALTO</w:t>
            </w:r>
          </w:p>
        </w:tc>
      </w:tr>
    </w:tbl>
    <w:p>
      <w:pPr>
        <w:spacing w:after="120"/>
      </w:pP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Clasificación obligatoria de Riesgo alto (Sección VII):</w:t>
            </w:r>
          </w:p>
        </w:tc>
        <w:tc>
          <w:tcPr>
            <w:tcW w:type="dxa" w:w="6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 ] No aplica   [ ] No residente en jurisdicción de riesgo   [ ] PEP extranjero</w:t>
            </w:r>
          </w:p>
        </w:tc>
      </w:tr>
      <w:tr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Mitigantes aplicados a este cliente:</w:t>
            </w:r>
          </w:p>
        </w:tc>
        <w:tc>
          <w:tcPr>
            <w:tcW w:type="dxa" w:w="6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[Descripción]</w:t>
            </w:r>
          </w:p>
        </w:tc>
      </w:tr>
      <w:tr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Decisión:</w:t>
            </w:r>
          </w:p>
        </w:tc>
        <w:tc>
          <w:tcPr>
            <w:tcW w:type="dxa" w:w="6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 ] Operar con monitoreo ordinario   [ ] Operar con medidas reforzadas   [ ] Someter a directivo/comité   [ ] No operar</w:t>
            </w:r>
          </w:p>
        </w:tc>
      </w:tr>
      <w:tr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Firma Representante de Cumplimiento:</w:t>
            </w:r>
          </w:p>
        </w:tc>
        <w:tc>
          <w:tcPr>
            <w:tcW w:type="dxa" w:w="6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Fecha:</w:t>
            </w:r>
          </w:p>
        </w:tc>
        <w:tc>
          <w:tcPr>
            <w:tcW w:type="dxa" w:w="6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Apoyo Certus PLD:</w:t>
            </w:r>
          </w:p>
        </w:tc>
        <w:tc>
          <w:tcPr>
            <w:tcW w:type="dxa" w:w="6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contacto@certusconsultores.com.mx │ 999 163 1363</w:t>
            </w:r>
          </w:p>
        </w:tc>
      </w:tr>
    </w:tbl>
    <w:p>
      <w:pPr>
        <w:spacing w:before="300"/>
      </w:pPr>
      <w:r>
        <w:rPr>
          <w:color w:val="888888"/>
          <w:sz w:val="16"/>
          <w:szCs w:val="16"/>
        </w:rPr>
        <w:t xml:space="preserve">Certus Consultores | Certus PLD | Mérida, Yucatán | 999 163 1363</w:t>
      </w:r>
    </w:p>
    <w:sectPr>
      <w:headerReference w:type="default" r:id="rId8"/>
      <w:footerReference w:type="default" r:id="rId9"/>
      <w:headerReference w:type="first" r:id="rId10"/>
      <w:footerReference w:type="first" r:id="rId11"/>
      <w:headerReference w:type="even" r:id="rId12"/>
      <w:footerReference w:type="even" r:id="rId13"/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pBdr>
        <w:bottom w:val="single" w:color="B08D57" w:sz="6" w:space="4"/>
      </w:pBdr>
      <w:spacing w:after="120" w:before="260"/>
    </w:pPr>
    <w:rPr>
      <w:rFonts w:ascii="Calibri" w:cs="Calibri" w:eastAsia="Calibri" w:hAnsi="Calibri"/>
      <w:b/>
      <w:bCs/>
      <w:color w:val="1F3864"/>
      <w:sz w:val="25"/>
      <w:szCs w:val="25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header" Target="header2.xml"/><Relationship Id="rId11" Type="http://schemas.openxmlformats.org/officeDocument/2006/relationships/footer" Target="footer2.xml"/><Relationship Id="rId12" Type="http://schemas.openxmlformats.org/officeDocument/2006/relationships/header" Target="header3.xml"/><Relationship Id="rId13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2026-08-11T14:01:50.007Z</dcterms:created>
  <dcterms:modified xsi:type="dcterms:W3CDTF">2026-08-11T14:01:50.020Z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