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F3864" w:val="clear"/>
            <w:tcMar>
              <w:top w:type="dxa" w:w="140"/>
              <w:left w:type="dxa" w:w="160"/>
              <w:bottom w:type="dxa" w:w="140"/>
              <w:right w:type="dxa" w:w="160"/>
            </w:tcMar>
          </w:tcPr>
          <w:p>
            <w:r>
              <w:rPr>
                <w:rFonts w:ascii="Calibri" w:cs="Calibri" w:eastAsia="Calibri" w:hAnsi="Calibri"/>
                <w:b/>
                <w:bCs/>
                <w:color w:val="FFFFFF"/>
                <w:sz w:val="22"/>
                <w:szCs w:val="22"/>
              </w:rPr>
              <w:t xml:space="preserve">CERTUS PLD</w:t>
            </w:r>
            <w:r>
              <w:rPr>
                <w:rFonts w:ascii="Calibri" w:cs="Calibri" w:eastAsia="Calibri" w:hAnsi="Calibri"/>
                <w:color w:val="B08D57"/>
                <w:sz w:val="22"/>
                <w:szCs w:val="22"/>
              </w:rPr>
              <w:t xml:space="preserve">   |   </w:t>
            </w:r>
            <w:r>
              <w:rPr>
                <w:rFonts w:ascii="Calibri" w:cs="Calibri" w:eastAsia="Calibri" w:hAnsi="Calibri"/>
                <w:b/>
                <w:bCs/>
                <w:color w:val="B08D57"/>
                <w:sz w:val="22"/>
                <w:szCs w:val="22"/>
              </w:rPr>
              <w:t xml:space="preserve">D1-NOT </w:t>
            </w:r>
            <w:r>
              <w:rPr>
                <w:rFonts w:ascii="Calibri" w:cs="Calibri" w:eastAsia="Calibri" w:hAnsi="Calibri"/>
                <w:b/>
                <w:bCs/>
                <w:color w:val="FFFFFF"/>
                <w:sz w:val="22"/>
                <w:szCs w:val="22"/>
              </w:rPr>
              <w:t xml:space="preserve">Dictamen de Sujeción Normativa PLD/FT — Notarías</w:t>
            </w:r>
          </w:p>
          <w:p>
            <w:pPr>
              <w:spacing w:before="40"/>
            </w:pPr>
            <w:r>
              <w:rPr>
                <w:rFonts w:ascii="Calibri" w:cs="Calibri" w:eastAsia="Calibri" w:hAnsi="Calibri"/>
                <w:color w:val="D9D9D9"/>
                <w:sz w:val="18"/>
                <w:szCs w:val="18"/>
              </w:rPr>
              <w:t xml:space="preserve">Fecha: [Fecha]   │   Notaría: [Denominación de la Notaría]   │   Variante: Fe Pública — Fracción XII LFPIORPI</w:t>
            </w:r>
          </w:p>
        </w:tc>
      </w:tr>
    </w:tbl>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c>
          <w:tcPr>
            <w:tcW w:type="dxa" w:w="2600"/>
            <w:shd w:fill="EDEDED" w:val="clear"/>
            <w:tcMar>
              <w:top w:type="dxa" w:w="80"/>
              <w:left w:type="dxa" w:w="100"/>
              <w:bottom w:type="dxa" w:w="80"/>
              <w:right w:type="dxa" w:w="100"/>
            </w:tcMar>
            <w:vAlign w:val="center"/>
          </w:tcPr>
          <w:p>
            <w:r>
              <w:rPr>
                <w:rFonts w:ascii="Calibri" w:cs="Calibri" w:eastAsia="Calibri" w:hAnsi="Calibri"/>
                <w:b/>
                <w:bCs/>
                <w:sz w:val="21"/>
                <w:szCs w:val="21"/>
              </w:rPr>
              <w:t xml:space="preserve">Notaría analizada:</w:t>
            </w:r>
          </w:p>
        </w:tc>
        <w:tc>
          <w:tcPr>
            <w:tcW w:type="dxa" w:w="6750"/>
            <w:tcMar>
              <w:top w:type="dxa" w:w="80"/>
              <w:left w:type="dxa" w:w="100"/>
              <w:bottom w:type="dxa" w:w="80"/>
              <w:right w:type="dxa" w:w="100"/>
            </w:tcMar>
            <w:vAlign w:val="center"/>
          </w:tcPr>
          <w:p>
            <w:r>
              <w:rPr>
                <w:rFonts w:ascii="Calibri" w:cs="Calibri" w:eastAsia="Calibri" w:hAnsi="Calibri"/>
                <w:b w:val="false"/>
                <w:bCs w:val="false"/>
                <w:sz w:val="21"/>
                <w:szCs w:val="21"/>
              </w:rPr>
              <w:t xml:space="preserve">[Denominación completa de la Notaría]</w:t>
            </w:r>
          </w:p>
        </w:tc>
      </w:tr>
      <w:tr>
        <w:tc>
          <w:tcPr>
            <w:tcW w:type="dxa" w:w="2600"/>
            <w:shd w:fill="EDEDED" w:val="clear"/>
            <w:tcMar>
              <w:top w:type="dxa" w:w="80"/>
              <w:left w:type="dxa" w:w="100"/>
              <w:bottom w:type="dxa" w:w="80"/>
              <w:right w:type="dxa" w:w="100"/>
            </w:tcMar>
            <w:vAlign w:val="center"/>
          </w:tcPr>
          <w:p>
            <w:r>
              <w:rPr>
                <w:rFonts w:ascii="Calibri" w:cs="Calibri" w:eastAsia="Calibri" w:hAnsi="Calibri"/>
                <w:b/>
                <w:bCs/>
                <w:sz w:val="21"/>
                <w:szCs w:val="21"/>
              </w:rPr>
              <w:t xml:space="preserve">Titular / Fedatario:</w:t>
            </w:r>
          </w:p>
        </w:tc>
        <w:tc>
          <w:tcPr>
            <w:tcW w:type="dxa" w:w="6750"/>
            <w:tcMar>
              <w:top w:type="dxa" w:w="80"/>
              <w:left w:type="dxa" w:w="100"/>
              <w:bottom w:type="dxa" w:w="80"/>
              <w:right w:type="dxa" w:w="100"/>
            </w:tcMar>
            <w:vAlign w:val="center"/>
          </w:tcPr>
          <w:p>
            <w:r>
              <w:rPr>
                <w:rFonts w:ascii="Calibri" w:cs="Calibri" w:eastAsia="Calibri" w:hAnsi="Calibri"/>
                <w:b w:val="false"/>
                <w:bCs w:val="false"/>
                <w:sz w:val="21"/>
                <w:szCs w:val="21"/>
              </w:rPr>
              <w:t xml:space="preserve">[Nombre del Notario Titular]</w:t>
            </w:r>
          </w:p>
        </w:tc>
      </w:tr>
      <w:tr>
        <w:tc>
          <w:tcPr>
            <w:tcW w:type="dxa" w:w="2600"/>
            <w:shd w:fill="EDEDED" w:val="clear"/>
            <w:tcMar>
              <w:top w:type="dxa" w:w="80"/>
              <w:left w:type="dxa" w:w="100"/>
              <w:bottom w:type="dxa" w:w="80"/>
              <w:right w:type="dxa" w:w="100"/>
            </w:tcMar>
            <w:vAlign w:val="center"/>
          </w:tcPr>
          <w:p>
            <w:r>
              <w:rPr>
                <w:rFonts w:ascii="Calibri" w:cs="Calibri" w:eastAsia="Calibri" w:hAnsi="Calibri"/>
                <w:b/>
                <w:bCs/>
                <w:sz w:val="21"/>
                <w:szCs w:val="21"/>
              </w:rPr>
              <w:t xml:space="preserve">No. de Notaría y adscripción:</w:t>
            </w:r>
          </w:p>
        </w:tc>
        <w:tc>
          <w:tcPr>
            <w:tcW w:type="dxa" w:w="6750"/>
            <w:tcMar>
              <w:top w:type="dxa" w:w="80"/>
              <w:left w:type="dxa" w:w="100"/>
              <w:bottom w:type="dxa" w:w="80"/>
              <w:right w:type="dxa" w:w="100"/>
            </w:tcMar>
            <w:vAlign w:val="center"/>
          </w:tcPr>
          <w:p>
            <w:r>
              <w:rPr>
                <w:rFonts w:ascii="Calibri" w:cs="Calibri" w:eastAsia="Calibri" w:hAnsi="Calibri"/>
                <w:b w:val="false"/>
                <w:bCs w:val="false"/>
                <w:sz w:val="21"/>
                <w:szCs w:val="21"/>
              </w:rPr>
              <w:t xml:space="preserve">[Número] — [Municipio, Estado]</w:t>
            </w:r>
          </w:p>
        </w:tc>
      </w:tr>
      <w:tr>
        <w:tc>
          <w:tcPr>
            <w:tcW w:type="dxa" w:w="2600"/>
            <w:shd w:fill="EDEDED" w:val="clear"/>
            <w:tcMar>
              <w:top w:type="dxa" w:w="80"/>
              <w:left w:type="dxa" w:w="100"/>
              <w:bottom w:type="dxa" w:w="80"/>
              <w:right w:type="dxa" w:w="100"/>
            </w:tcMar>
            <w:vAlign w:val="center"/>
          </w:tcPr>
          <w:p>
            <w:r>
              <w:rPr>
                <w:rFonts w:ascii="Calibri" w:cs="Calibri" w:eastAsia="Calibri" w:hAnsi="Calibri"/>
                <w:b/>
                <w:bCs/>
                <w:sz w:val="21"/>
                <w:szCs w:val="21"/>
              </w:rPr>
              <w:t xml:space="preserve">RFC:</w:t>
            </w:r>
          </w:p>
        </w:tc>
        <w:tc>
          <w:tcPr>
            <w:tcW w:type="dxa" w:w="6750"/>
            <w:tcMar>
              <w:top w:type="dxa" w:w="80"/>
              <w:left w:type="dxa" w:w="100"/>
              <w:bottom w:type="dxa" w:w="80"/>
              <w:right w:type="dxa" w:w="100"/>
            </w:tcMar>
            <w:vAlign w:val="center"/>
          </w:tcPr>
          <w:p>
            <w:r>
              <w:rPr>
                <w:rFonts w:ascii="Calibri" w:cs="Calibri" w:eastAsia="Calibri" w:hAnsi="Calibri"/>
                <w:b w:val="false"/>
                <w:bCs w:val="false"/>
                <w:sz w:val="21"/>
                <w:szCs w:val="21"/>
              </w:rPr>
              <w:t xml:space="preserve">[RFC]</w:t>
            </w:r>
          </w:p>
        </w:tc>
      </w:tr>
      <w:tr>
        <w:tc>
          <w:tcPr>
            <w:tcW w:type="dxa" w:w="2600"/>
            <w:shd w:fill="EDEDED" w:val="clear"/>
            <w:tcMar>
              <w:top w:type="dxa" w:w="80"/>
              <w:left w:type="dxa" w:w="100"/>
              <w:bottom w:type="dxa" w:w="80"/>
              <w:right w:type="dxa" w:w="100"/>
            </w:tcMar>
            <w:vAlign w:val="center"/>
          </w:tcPr>
          <w:p>
            <w:r>
              <w:rPr>
                <w:rFonts w:ascii="Calibri" w:cs="Calibri" w:eastAsia="Calibri" w:hAnsi="Calibri"/>
                <w:b/>
                <w:bCs/>
                <w:sz w:val="21"/>
                <w:szCs w:val="21"/>
              </w:rPr>
              <w:t xml:space="preserve">Elaboró:</w:t>
            </w:r>
          </w:p>
        </w:tc>
        <w:tc>
          <w:tcPr>
            <w:tcW w:type="dxa" w:w="6750"/>
            <w:tcMar>
              <w:top w:type="dxa" w:w="80"/>
              <w:left w:type="dxa" w:w="100"/>
              <w:bottom w:type="dxa" w:w="80"/>
              <w:right w:type="dxa" w:w="100"/>
            </w:tcMar>
            <w:vAlign w:val="center"/>
          </w:tcPr>
          <w:p>
            <w:r>
              <w:rPr>
                <w:rFonts w:ascii="Calibri" w:cs="Calibri" w:eastAsia="Calibri" w:hAnsi="Calibri"/>
                <w:b w:val="false"/>
                <w:bCs w:val="false"/>
                <w:sz w:val="21"/>
                <w:szCs w:val="21"/>
              </w:rPr>
              <w:t xml:space="preserve">CERTUS CONSULTORES │ Certus PLD</w:t>
            </w:r>
          </w:p>
        </w:tc>
      </w:tr>
      <w:tr>
        <w:tc>
          <w:tcPr>
            <w:tcW w:type="dxa" w:w="2600"/>
            <w:shd w:fill="EDEDED" w:val="clear"/>
            <w:tcMar>
              <w:top w:type="dxa" w:w="80"/>
              <w:left w:type="dxa" w:w="100"/>
              <w:bottom w:type="dxa" w:w="80"/>
              <w:right w:type="dxa" w:w="100"/>
            </w:tcMar>
            <w:vAlign w:val="center"/>
          </w:tcPr>
          <w:p>
            <w:r>
              <w:rPr>
                <w:rFonts w:ascii="Calibri" w:cs="Calibri" w:eastAsia="Calibri" w:hAnsi="Calibri"/>
                <w:b/>
                <w:bCs/>
                <w:sz w:val="21"/>
                <w:szCs w:val="21"/>
              </w:rPr>
              <w:t xml:space="preserve">Fecha:</w:t>
            </w:r>
          </w:p>
        </w:tc>
        <w:tc>
          <w:tcPr>
            <w:tcW w:type="dxa" w:w="6750"/>
            <w:tcMar>
              <w:top w:type="dxa" w:w="80"/>
              <w:left w:type="dxa" w:w="100"/>
              <w:bottom w:type="dxa" w:w="80"/>
              <w:right w:type="dxa" w:w="100"/>
            </w:tcMar>
            <w:vAlign w:val="center"/>
          </w:tcPr>
          <w:p>
            <w:r>
              <w:rPr>
                <w:rFonts w:ascii="Calibri" w:cs="Calibri" w:eastAsia="Calibri" w:hAnsi="Calibri"/>
                <w:b w:val="false"/>
                <w:bCs w:val="false"/>
                <w:sz w:val="21"/>
                <w:szCs w:val="21"/>
              </w:rPr>
              <w:t xml:space="preserve">[Fecha]</w:t>
            </w:r>
          </w:p>
        </w:tc>
      </w:tr>
      <w:tr>
        <w:tc>
          <w:tcPr>
            <w:tcW w:type="dxa" w:w="2600"/>
            <w:shd w:fill="EDEDED" w:val="clear"/>
            <w:tcMar>
              <w:top w:type="dxa" w:w="80"/>
              <w:left w:type="dxa" w:w="100"/>
              <w:bottom w:type="dxa" w:w="80"/>
              <w:right w:type="dxa" w:w="100"/>
            </w:tcMar>
            <w:vAlign w:val="center"/>
          </w:tcPr>
          <w:p>
            <w:r>
              <w:rPr>
                <w:rFonts w:ascii="Calibri" w:cs="Calibri" w:eastAsia="Calibri" w:hAnsi="Calibri"/>
                <w:b/>
                <w:bCs/>
                <w:sz w:val="21"/>
                <w:szCs w:val="21"/>
              </w:rPr>
              <w:t xml:space="preserve">Vigencia normativa:</w:t>
            </w:r>
          </w:p>
        </w:tc>
        <w:tc>
          <w:tcPr>
            <w:tcW w:type="dxa" w:w="6750"/>
            <w:tcMar>
              <w:top w:type="dxa" w:w="80"/>
              <w:left w:type="dxa" w:w="100"/>
              <w:bottom w:type="dxa" w:w="80"/>
              <w:right w:type="dxa" w:w="100"/>
            </w:tcMar>
            <w:vAlign w:val="center"/>
          </w:tcPr>
          <w:p>
            <w:r>
              <w:rPr>
                <w:rFonts w:ascii="Calibri" w:cs="Calibri" w:eastAsia="Calibri" w:hAnsi="Calibri"/>
                <w:b w:val="false"/>
                <w:bCs w:val="false"/>
                <w:sz w:val="21"/>
                <w:szCs w:val="21"/>
              </w:rPr>
              <w:t xml:space="preserve">LFPIORPI reforma DOF 16/07/2025 — Reglamento DOF 27/03/2026 — Acuerdo 115/2026 (DOF 07/08/2026)</w:t>
            </w:r>
          </w:p>
        </w:tc>
      </w:tr>
    </w:tbl>
    <w:p/>
    <w:p>
      <w:pPr>
        <w:pBdr>
          <w:bottom w:val="single" w:color="B08D57" w:sz="6" w:space="2"/>
        </w:pBdr>
        <w:spacing w:after="140" w:before="260"/>
      </w:pPr>
      <w:r>
        <w:rPr>
          <w:rFonts w:ascii="Calibri" w:cs="Calibri" w:eastAsia="Calibri" w:hAnsi="Calibri"/>
          <w:b/>
          <w:bCs/>
          <w:color w:val="1F3864"/>
          <w:sz w:val="24"/>
          <w:szCs w:val="24"/>
        </w:rPr>
        <w:t xml:space="preserve">I. Antecedentes normativos</w:t>
      </w:r>
    </w:p>
    <w:p>
      <w:pPr>
        <w:spacing w:after="120"/>
      </w:pPr>
      <w:r>
        <w:rPr>
          <w:rFonts w:ascii="Calibri" w:cs="Calibri" w:eastAsia="Calibri" w:hAnsi="Calibri"/>
          <w:sz w:val="21"/>
          <w:szCs w:val="21"/>
        </w:rPr>
        <w:t xml:space="preserve">La Ley Federal para la Prevención e Identificación de Operaciones con Recursos de Procedencia Ilícita (LFPIORPI) fue publicada en el Diario Oficial de la Federación el 17 de octubre de 2012. La reforma publicada el 16 de julio de 2025 modificó de forma sustancial las obligaciones aplicables a quienes prestan servicios de fe pública, reforzando la identificación del beneficiario controlador y ampliando las obligaciones del artículo 18. El Reglamento fue reformado mediante decreto publicado en el DOF el 27 de marzo de 2026, y el Acuerdo 115/2026 (DOF 07/08/2026) modificó las Reglas de Carácter General aplicables.</w:t>
      </w:r>
    </w:p>
    <w:p>
      <w:pPr>
        <w:pBdr>
          <w:bottom w:val="single" w:color="B08D57" w:sz="6" w:space="2"/>
        </w:pBdr>
        <w:spacing w:after="140" w:before="260"/>
      </w:pPr>
      <w:r>
        <w:rPr>
          <w:rFonts w:ascii="Calibri" w:cs="Calibri" w:eastAsia="Calibri" w:hAnsi="Calibri"/>
          <w:b/>
          <w:bCs/>
          <w:color w:val="1F3864"/>
          <w:sz w:val="24"/>
          <w:szCs w:val="24"/>
        </w:rPr>
        <w:t xml:space="preserve">II. Sujeción — Fracción XII: Servicios de Fe Pública</w:t>
      </w:r>
    </w:p>
    <w:p>
      <w:pPr>
        <w:spacing w:after="80" w:before="160"/>
      </w:pPr>
      <w:r>
        <w:rPr>
          <w:rFonts w:ascii="Calibri" w:cs="Calibri" w:eastAsia="Calibri" w:hAnsi="Calibri"/>
          <w:b/>
          <w:bCs/>
          <w:color w:val="0A1628"/>
          <w:sz w:val="21"/>
          <w:szCs w:val="21"/>
        </w:rPr>
        <w:t xml:space="preserve">2.1 Supuesto normativo</w:t>
      </w:r>
    </w:p>
    <w:p>
      <w:pPr>
        <w:spacing w:after="120"/>
      </w:pPr>
      <w:r>
        <w:rPr>
          <w:rFonts w:ascii="Calibri" w:cs="Calibri" w:eastAsia="Calibri" w:hAnsi="Calibri"/>
          <w:sz w:val="21"/>
          <w:szCs w:val="21"/>
        </w:rPr>
        <w:t xml:space="preserve">La Fracción XII del artículo 17 LFPIORPI, Apartado A, sujeta a quienes presten servicios de fe pública — notarios públicos — respecto del otorgamiento de actos jurídicos que involucren: (a) la transmisión o constitución de derechos reales sobre inmuebles; (b) el otorgamiento de poderes para actos de administración o dominio con carácter irrevocable; (c) la constitución de personas morales, su modificación patrimonial por aumento o disminución de capital social, fusión, escisión, y la compraventa de acciones y partes sociales de dichas personas; (d) la constitución o modificación de fideicomisos traslativos de dominio o de garantía; y (e) el otorgamiento de contratos de mutuo o crédito, con o sin garantía, cuando el acreedor no forme parte del sistema financiero.</w:t>
      </w:r>
    </w:p>
    <w:p>
      <w:pPr>
        <w:spacing w:after="80" w:before="160"/>
      </w:pPr>
      <w:r>
        <w:rPr>
          <w:rFonts w:ascii="Calibri" w:cs="Calibri" w:eastAsia="Calibri" w:hAnsi="Calibri"/>
          <w:b/>
          <w:bCs/>
          <w:color w:val="0A1628"/>
          <w:sz w:val="21"/>
          <w:szCs w:val="21"/>
        </w:rPr>
        <w:t xml:space="preserve">2.2 Umbrales aplicables por inciso — Apartado A, Art. 17 Fracc. XII (UMA 2026: $117.31 MXN)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2600"/>
        <w:gridCol w:w="3150"/>
      </w:tblGrid>
      <w:tr>
        <w:trPr>
          <w:tblHeader/>
        </w:trPr>
        <w:tc>
          <w:tcPr>
            <w:tcW w:type="dxa" w:w="3600"/>
            <w:shd w:fill="1F3864" w:val="clear"/>
            <w:tcMar>
              <w:top w:type="dxa" w:w="80"/>
              <w:left w:type="dxa" w:w="100"/>
              <w:bottom w:type="dxa" w:w="80"/>
              <w:right w:type="dxa" w:w="100"/>
            </w:tcMar>
            <w:vAlign w:val="center"/>
          </w:tcPr>
          <w:p>
            <w:r>
              <w:rPr>
                <w:rFonts w:ascii="Calibri" w:cs="Calibri" w:eastAsia="Calibri" w:hAnsi="Calibri"/>
                <w:b/>
                <w:bCs/>
                <w:color w:val="FFFFFF"/>
                <w:sz w:val="21"/>
                <w:szCs w:val="21"/>
              </w:rPr>
              <w:t xml:space="preserve">Inciso / Acto jurídico</w:t>
            </w:r>
          </w:p>
        </w:tc>
        <w:tc>
          <w:tcPr>
            <w:tcW w:type="dxa" w:w="2600"/>
            <w:shd w:fill="1F3864" w:val="clear"/>
            <w:tcMar>
              <w:top w:type="dxa" w:w="80"/>
              <w:left w:type="dxa" w:w="100"/>
              <w:bottom w:type="dxa" w:w="80"/>
              <w:right w:type="dxa" w:w="100"/>
            </w:tcMar>
            <w:vAlign w:val="center"/>
          </w:tcPr>
          <w:p>
            <w:r>
              <w:rPr>
                <w:rFonts w:ascii="Calibri" w:cs="Calibri" w:eastAsia="Calibri" w:hAnsi="Calibri"/>
                <w:b/>
                <w:bCs/>
                <w:color w:val="FFFFFF"/>
                <w:sz w:val="21"/>
                <w:szCs w:val="21"/>
              </w:rPr>
              <w:t xml:space="preserve">Umbral de aviso (UMA)</w:t>
            </w:r>
          </w:p>
        </w:tc>
        <w:tc>
          <w:tcPr>
            <w:tcW w:type="dxa" w:w="3150"/>
            <w:shd w:fill="1F3864" w:val="clear"/>
            <w:tcMar>
              <w:top w:type="dxa" w:w="80"/>
              <w:left w:type="dxa" w:w="100"/>
              <w:bottom w:type="dxa" w:w="80"/>
              <w:right w:type="dxa" w:w="100"/>
            </w:tcMar>
            <w:vAlign w:val="center"/>
          </w:tcPr>
          <w:p>
            <w:r>
              <w:rPr>
                <w:rFonts w:ascii="Calibri" w:cs="Calibri" w:eastAsia="Calibri" w:hAnsi="Calibri"/>
                <w:b/>
                <w:bCs/>
                <w:color w:val="FFFFFF"/>
                <w:sz w:val="21"/>
                <w:szCs w:val="21"/>
              </w:rPr>
              <w:t xml:space="preserve">Equivalente MXN 2026 (aprox.)</w:t>
            </w:r>
          </w:p>
        </w:tc>
      </w:tr>
      <w:tr>
        <w:tc>
          <w:tcPr>
            <w:tcW w:type="dxa" w:w="3600"/>
            <w:shd w:fill="FFFFFF" w:val="clear"/>
            <w:tcMar>
              <w:top w:type="dxa" w:w="80"/>
              <w:left w:type="dxa" w:w="100"/>
              <w:bottom w:type="dxa" w:w="80"/>
              <w:right w:type="dxa" w:w="100"/>
            </w:tcMar>
            <w:vAlign w:val="center"/>
          </w:tcPr>
          <w:p>
            <w:r>
              <w:rPr>
                <w:rFonts w:ascii="Calibri" w:cs="Calibri" w:eastAsia="Calibri" w:hAnsi="Calibri"/>
                <w:b w:val="false"/>
                <w:bCs w:val="false"/>
                <w:sz w:val="21"/>
                <w:szCs w:val="21"/>
              </w:rPr>
              <w:t xml:space="preserve">Identificación del cliente y, en su caso, beneficiario controlador (todos los incisos)</w:t>
            </w:r>
          </w:p>
        </w:tc>
        <w:tc>
          <w:tcPr>
            <w:tcW w:type="dxa" w:w="2600"/>
            <w:shd w:fill="FFFFFF" w:val="clear"/>
            <w:tcMar>
              <w:top w:type="dxa" w:w="80"/>
              <w:left w:type="dxa" w:w="100"/>
              <w:bottom w:type="dxa" w:w="80"/>
              <w:right w:type="dxa" w:w="100"/>
            </w:tcMar>
            <w:vAlign w:val="center"/>
          </w:tcPr>
          <w:p>
            <w:r>
              <w:rPr>
                <w:rFonts w:ascii="Calibri" w:cs="Calibri" w:eastAsia="Calibri" w:hAnsi="Calibri"/>
                <w:b w:val="false"/>
                <w:bCs w:val="false"/>
                <w:sz w:val="21"/>
                <w:szCs w:val="21"/>
              </w:rPr>
              <w:t xml:space="preserve">SIEMPRE (sin umbral)</w:t>
            </w:r>
          </w:p>
        </w:tc>
        <w:tc>
          <w:tcPr>
            <w:tcW w:type="dxa" w:w="3150"/>
            <w:shd w:fill="FFFFFF" w:val="clear"/>
            <w:tcMar>
              <w:top w:type="dxa" w:w="80"/>
              <w:left w:type="dxa" w:w="100"/>
              <w:bottom w:type="dxa" w:w="80"/>
              <w:right w:type="dxa" w:w="100"/>
            </w:tcMar>
            <w:vAlign w:val="center"/>
          </w:tcPr>
          <w:p>
            <w:r>
              <w:rPr>
                <w:rFonts w:ascii="Calibri" w:cs="Calibri" w:eastAsia="Calibri" w:hAnsi="Calibri"/>
                <w:b w:val="false"/>
                <w:bCs w:val="false"/>
                <w:sz w:val="21"/>
                <w:szCs w:val="21"/>
              </w:rPr>
              <w:t xml:space="preserve">Todo acto ante fe pública</w:t>
            </w:r>
          </w:p>
        </w:tc>
      </w:tr>
      <w:tr>
        <w:tc>
          <w:tcPr>
            <w:tcW w:type="dxa" w:w="3600"/>
            <w:shd w:fill="F4F4F4" w:val="clear"/>
            <w:tcMar>
              <w:top w:type="dxa" w:w="80"/>
              <w:left w:type="dxa" w:w="100"/>
              <w:bottom w:type="dxa" w:w="80"/>
              <w:right w:type="dxa" w:w="100"/>
            </w:tcMar>
            <w:vAlign w:val="center"/>
          </w:tcPr>
          <w:p>
            <w:r>
              <w:rPr>
                <w:rFonts w:ascii="Calibri" w:cs="Calibri" w:eastAsia="Calibri" w:hAnsi="Calibri"/>
                <w:b w:val="false"/>
                <w:bCs w:val="false"/>
                <w:sz w:val="21"/>
                <w:szCs w:val="21"/>
              </w:rPr>
              <w:t xml:space="preserve">a) Transmisión o constitución de derechos reales sobre inmuebles (salvo garantías a favor del sistema financiero u organismos públicos de vivienda)</w:t>
            </w:r>
          </w:p>
        </w:tc>
        <w:tc>
          <w:tcPr>
            <w:tcW w:type="dxa" w:w="2600"/>
            <w:shd w:fill="F4F4F4" w:val="clear"/>
            <w:tcMar>
              <w:top w:type="dxa" w:w="80"/>
              <w:left w:type="dxa" w:w="100"/>
              <w:bottom w:type="dxa" w:w="80"/>
              <w:right w:type="dxa" w:w="100"/>
            </w:tcMar>
            <w:vAlign w:val="center"/>
          </w:tcPr>
          <w:p>
            <w:r>
              <w:rPr>
                <w:rFonts w:ascii="Calibri" w:cs="Calibri" w:eastAsia="Calibri" w:hAnsi="Calibri"/>
                <w:b w:val="false"/>
                <w:bCs w:val="false"/>
                <w:sz w:val="21"/>
                <w:szCs w:val="21"/>
              </w:rPr>
              <w:t xml:space="preserve">8,000 UMA</w:t>
            </w:r>
          </w:p>
        </w:tc>
        <w:tc>
          <w:tcPr>
            <w:tcW w:type="dxa" w:w="3150"/>
            <w:shd w:fill="F4F4F4" w:val="clear"/>
            <w:tcMar>
              <w:top w:type="dxa" w:w="80"/>
              <w:left w:type="dxa" w:w="100"/>
              <w:bottom w:type="dxa" w:w="80"/>
              <w:right w:type="dxa" w:w="100"/>
            </w:tcMar>
            <w:vAlign w:val="center"/>
          </w:tcPr>
          <w:p>
            <w:r>
              <w:rPr>
                <w:rFonts w:ascii="Calibri" w:cs="Calibri" w:eastAsia="Calibri" w:hAnsi="Calibri"/>
                <w:b w:val="false"/>
                <w:bCs w:val="false"/>
                <w:sz w:val="21"/>
                <w:szCs w:val="21"/>
              </w:rPr>
              <w:t xml:space="preserve">$938,480 MXN</w:t>
            </w:r>
          </w:p>
        </w:tc>
      </w:tr>
      <w:tr>
        <w:tc>
          <w:tcPr>
            <w:tcW w:type="dxa" w:w="3600"/>
            <w:shd w:fill="FFFFFF" w:val="clear"/>
            <w:tcMar>
              <w:top w:type="dxa" w:w="80"/>
              <w:left w:type="dxa" w:w="100"/>
              <w:bottom w:type="dxa" w:w="80"/>
              <w:right w:type="dxa" w:w="100"/>
            </w:tcMar>
            <w:vAlign w:val="center"/>
          </w:tcPr>
          <w:p>
            <w:r>
              <w:rPr>
                <w:rFonts w:ascii="Calibri" w:cs="Calibri" w:eastAsia="Calibri" w:hAnsi="Calibri"/>
                <w:b w:val="false"/>
                <w:bCs w:val="false"/>
                <w:sz w:val="21"/>
                <w:szCs w:val="21"/>
              </w:rPr>
              <w:t xml:space="preserve">b) Otorgamiento de poderes para actos de administración o dominio con carácter IRREVOCABLE</w:t>
            </w:r>
          </w:p>
        </w:tc>
        <w:tc>
          <w:tcPr>
            <w:tcW w:type="dxa" w:w="2600"/>
            <w:shd w:fill="FFFFFF" w:val="clear"/>
            <w:tcMar>
              <w:top w:type="dxa" w:w="80"/>
              <w:left w:type="dxa" w:w="100"/>
              <w:bottom w:type="dxa" w:w="80"/>
              <w:right w:type="dxa" w:w="100"/>
            </w:tcMar>
            <w:vAlign w:val="center"/>
          </w:tcPr>
          <w:p>
            <w:r>
              <w:rPr>
                <w:rFonts w:ascii="Calibri" w:cs="Calibri" w:eastAsia="Calibri" w:hAnsi="Calibri"/>
                <w:b w:val="false"/>
                <w:bCs w:val="false"/>
                <w:sz w:val="21"/>
                <w:szCs w:val="21"/>
              </w:rPr>
              <w:t xml:space="preserve">SIEMPRE (sin umbral)</w:t>
            </w:r>
          </w:p>
        </w:tc>
        <w:tc>
          <w:tcPr>
            <w:tcW w:type="dxa" w:w="3150"/>
            <w:shd w:fill="FFFFFF" w:val="clear"/>
            <w:tcMar>
              <w:top w:type="dxa" w:w="80"/>
              <w:left w:type="dxa" w:w="100"/>
              <w:bottom w:type="dxa" w:w="80"/>
              <w:right w:type="dxa" w:w="100"/>
            </w:tcMar>
            <w:vAlign w:val="center"/>
          </w:tcPr>
          <w:p>
            <w:r>
              <w:rPr>
                <w:rFonts w:ascii="Calibri" w:cs="Calibri" w:eastAsia="Calibri" w:hAnsi="Calibri"/>
                <w:b w:val="false"/>
                <w:bCs w:val="false"/>
                <w:sz w:val="21"/>
                <w:szCs w:val="21"/>
              </w:rPr>
              <w:t xml:space="preserve">Todo otorgamiento</w:t>
            </w:r>
          </w:p>
        </w:tc>
      </w:tr>
      <w:tr>
        <w:tc>
          <w:tcPr>
            <w:tcW w:type="dxa" w:w="3600"/>
            <w:shd w:fill="F4F4F4" w:val="clear"/>
            <w:tcMar>
              <w:top w:type="dxa" w:w="80"/>
              <w:left w:type="dxa" w:w="100"/>
              <w:bottom w:type="dxa" w:w="80"/>
              <w:right w:type="dxa" w:w="100"/>
            </w:tcMar>
            <w:vAlign w:val="center"/>
          </w:tcPr>
          <w:p>
            <w:r>
              <w:rPr>
                <w:rFonts w:ascii="Calibri" w:cs="Calibri" w:eastAsia="Calibri" w:hAnsi="Calibri"/>
                <w:b w:val="false"/>
                <w:bCs w:val="false"/>
                <w:sz w:val="21"/>
                <w:szCs w:val="21"/>
              </w:rPr>
              <w:t xml:space="preserve">c) Constitución de personas morales; modificación patrimonial por aumento o disminución de capital; fusión; escisión; compraventa de acciones y partes sociales</w:t>
            </w:r>
          </w:p>
        </w:tc>
        <w:tc>
          <w:tcPr>
            <w:tcW w:type="dxa" w:w="2600"/>
            <w:shd w:fill="F4F4F4" w:val="clear"/>
            <w:tcMar>
              <w:top w:type="dxa" w:w="80"/>
              <w:left w:type="dxa" w:w="100"/>
              <w:bottom w:type="dxa" w:w="80"/>
              <w:right w:type="dxa" w:w="100"/>
            </w:tcMar>
            <w:vAlign w:val="center"/>
          </w:tcPr>
          <w:p>
            <w:r>
              <w:rPr>
                <w:rFonts w:ascii="Calibri" w:cs="Calibri" w:eastAsia="Calibri" w:hAnsi="Calibri"/>
                <w:b w:val="false"/>
                <w:bCs w:val="false"/>
                <w:sz w:val="21"/>
                <w:szCs w:val="21"/>
              </w:rPr>
              <w:t xml:space="preserve">SIEMPRE (sin umbral)</w:t>
            </w:r>
          </w:p>
        </w:tc>
        <w:tc>
          <w:tcPr>
            <w:tcW w:type="dxa" w:w="3150"/>
            <w:shd w:fill="F4F4F4" w:val="clear"/>
            <w:tcMar>
              <w:top w:type="dxa" w:w="80"/>
              <w:left w:type="dxa" w:w="100"/>
              <w:bottom w:type="dxa" w:w="80"/>
              <w:right w:type="dxa" w:w="100"/>
            </w:tcMar>
            <w:vAlign w:val="center"/>
          </w:tcPr>
          <w:p>
            <w:r>
              <w:rPr>
                <w:rFonts w:ascii="Calibri" w:cs="Calibri" w:eastAsia="Calibri" w:hAnsi="Calibri"/>
                <w:b w:val="false"/>
                <w:bCs w:val="false"/>
                <w:sz w:val="21"/>
                <w:szCs w:val="21"/>
              </w:rPr>
              <w:t xml:space="preserve">Todo acto</w:t>
            </w:r>
          </w:p>
        </w:tc>
      </w:tr>
      <w:tr>
        <w:tc>
          <w:tcPr>
            <w:tcW w:type="dxa" w:w="3600"/>
            <w:shd w:fill="FFFFFF" w:val="clear"/>
            <w:tcMar>
              <w:top w:type="dxa" w:w="80"/>
              <w:left w:type="dxa" w:w="100"/>
              <w:bottom w:type="dxa" w:w="80"/>
              <w:right w:type="dxa" w:w="100"/>
            </w:tcMar>
            <w:vAlign w:val="center"/>
          </w:tcPr>
          <w:p>
            <w:r>
              <w:rPr>
                <w:rFonts w:ascii="Calibri" w:cs="Calibri" w:eastAsia="Calibri" w:hAnsi="Calibri"/>
                <w:b w:val="false"/>
                <w:bCs w:val="false"/>
                <w:sz w:val="21"/>
                <w:szCs w:val="21"/>
              </w:rPr>
              <w:t xml:space="preserve">d) Constitución o modificación de fideicomisos traslativos de dominio o de garantía (salvo garantía a favor del sistema financiero u organismos públicos de vivienda)</w:t>
            </w:r>
          </w:p>
        </w:tc>
        <w:tc>
          <w:tcPr>
            <w:tcW w:type="dxa" w:w="2600"/>
            <w:shd w:fill="FFFFFF" w:val="clear"/>
            <w:tcMar>
              <w:top w:type="dxa" w:w="80"/>
              <w:left w:type="dxa" w:w="100"/>
              <w:bottom w:type="dxa" w:w="80"/>
              <w:right w:type="dxa" w:w="100"/>
            </w:tcMar>
            <w:vAlign w:val="center"/>
          </w:tcPr>
          <w:p>
            <w:r>
              <w:rPr>
                <w:rFonts w:ascii="Calibri" w:cs="Calibri" w:eastAsia="Calibri" w:hAnsi="Calibri"/>
                <w:b w:val="false"/>
                <w:bCs w:val="false"/>
                <w:sz w:val="21"/>
                <w:szCs w:val="21"/>
              </w:rPr>
              <w:t xml:space="preserve">4,000 UMA</w:t>
            </w:r>
          </w:p>
        </w:tc>
        <w:tc>
          <w:tcPr>
            <w:tcW w:type="dxa" w:w="3150"/>
            <w:shd w:fill="FFFFFF" w:val="clear"/>
            <w:tcMar>
              <w:top w:type="dxa" w:w="80"/>
              <w:left w:type="dxa" w:w="100"/>
              <w:bottom w:type="dxa" w:w="80"/>
              <w:right w:type="dxa" w:w="100"/>
            </w:tcMar>
            <w:vAlign w:val="center"/>
          </w:tcPr>
          <w:p>
            <w:r>
              <w:rPr>
                <w:rFonts w:ascii="Calibri" w:cs="Calibri" w:eastAsia="Calibri" w:hAnsi="Calibri"/>
                <w:b w:val="false"/>
                <w:bCs w:val="false"/>
                <w:sz w:val="21"/>
                <w:szCs w:val="21"/>
              </w:rPr>
              <w:t xml:space="preserve">$469,240 MXN</w:t>
            </w:r>
          </w:p>
        </w:tc>
      </w:tr>
      <w:tr>
        <w:tc>
          <w:tcPr>
            <w:tcW w:type="dxa" w:w="3600"/>
            <w:shd w:fill="F4F4F4" w:val="clear"/>
            <w:tcMar>
              <w:top w:type="dxa" w:w="80"/>
              <w:left w:type="dxa" w:w="100"/>
              <w:bottom w:type="dxa" w:w="80"/>
              <w:right w:type="dxa" w:w="100"/>
            </w:tcMar>
            <w:vAlign w:val="center"/>
          </w:tcPr>
          <w:p>
            <w:r>
              <w:rPr>
                <w:rFonts w:ascii="Calibri" w:cs="Calibri" w:eastAsia="Calibri" w:hAnsi="Calibri"/>
                <w:b w:val="false"/>
                <w:bCs w:val="false"/>
                <w:sz w:val="21"/>
                <w:szCs w:val="21"/>
              </w:rPr>
              <w:t xml:space="preserve">e) Contratos de mutuo o crédito, con o sin garantía, cuando el acreedor no forme parte del sistema financiero ni sea organismo público de vivienda</w:t>
            </w:r>
          </w:p>
        </w:tc>
        <w:tc>
          <w:tcPr>
            <w:tcW w:type="dxa" w:w="2600"/>
            <w:shd w:fill="F4F4F4" w:val="clear"/>
            <w:tcMar>
              <w:top w:type="dxa" w:w="80"/>
              <w:left w:type="dxa" w:w="100"/>
              <w:bottom w:type="dxa" w:w="80"/>
              <w:right w:type="dxa" w:w="100"/>
            </w:tcMar>
            <w:vAlign w:val="center"/>
          </w:tcPr>
          <w:p>
            <w:r>
              <w:rPr>
                <w:rFonts w:ascii="Calibri" w:cs="Calibri" w:eastAsia="Calibri" w:hAnsi="Calibri"/>
                <w:b w:val="false"/>
                <w:bCs w:val="false"/>
                <w:sz w:val="21"/>
                <w:szCs w:val="21"/>
              </w:rPr>
              <w:t xml:space="preserve">SIEMPRE (sin umbral)</w:t>
            </w:r>
          </w:p>
        </w:tc>
        <w:tc>
          <w:tcPr>
            <w:tcW w:type="dxa" w:w="3150"/>
            <w:shd w:fill="F4F4F4" w:val="clear"/>
            <w:tcMar>
              <w:top w:type="dxa" w:w="80"/>
              <w:left w:type="dxa" w:w="100"/>
              <w:bottom w:type="dxa" w:w="80"/>
              <w:right w:type="dxa" w:w="100"/>
            </w:tcMar>
            <w:vAlign w:val="center"/>
          </w:tcPr>
          <w:p>
            <w:r>
              <w:rPr>
                <w:rFonts w:ascii="Calibri" w:cs="Calibri" w:eastAsia="Calibri" w:hAnsi="Calibri"/>
                <w:b w:val="false"/>
                <w:bCs w:val="false"/>
                <w:sz w:val="21"/>
                <w:szCs w:val="21"/>
              </w:rPr>
              <w:t xml:space="preserve">Todo otorgamiento</w:t>
            </w:r>
          </w:p>
        </w:tc>
      </w:tr>
    </w:tbl>
    <w:p>
      <w:pPr>
        <w:spacing w:after="120"/>
      </w:pPr>
      <w:r>
        <w:rPr>
          <w:rFonts w:ascii="Calibri" w:cs="Calibri" w:eastAsia="Calibri" w:hAnsi="Calibri"/>
          <w:i/>
          <w:iCs/>
          <w:color w:val="595959"/>
          <w:sz w:val="19"/>
          <w:szCs w:val="19"/>
        </w:rPr>
        <w:t xml:space="preserve">Nota: el Apartado A del artículo 17, Fracción XII contempla cinco incisos (a–e). No existe un inciso separado para "aportaciones de capital" — ese supuesto queda comprendido dentro del inciso c), como modificación patrimonial derivada de aumento de capital social.</w:t>
      </w:r>
    </w:p>
    <w:p>
      <w:pPr>
        <w:pBdr>
          <w:bottom w:val="single" w:color="B08D57" w:sz="6" w:space="2"/>
        </w:pBdr>
        <w:spacing w:after="140" w:before="260"/>
      </w:pPr>
      <w:r>
        <w:rPr>
          <w:rFonts w:ascii="Calibri" w:cs="Calibri" w:eastAsia="Calibri" w:hAnsi="Calibri"/>
          <w:b/>
          <w:bCs/>
          <w:color w:val="1F3864"/>
          <w:sz w:val="24"/>
          <w:szCs w:val="24"/>
        </w:rPr>
        <w:t xml:space="preserve">III. Identificación reforzada del Beneficiario Controlador</w:t>
      </w:r>
    </w:p>
    <w:p>
      <w:pPr>
        <w:spacing w:after="120"/>
      </w:pPr>
      <w:r>
        <w:rPr>
          <w:rFonts w:ascii="Calibri" w:cs="Calibri" w:eastAsia="Calibri" w:hAnsi="Calibri"/>
          <w:sz w:val="21"/>
          <w:szCs w:val="21"/>
        </w:rPr>
        <w:t xml:space="preserve">Conforme al artículo 18, fracción III, de la Ley (reforma de julio 2025), cuando el cliente sea persona moral, fideicomiso u otra figura jurídica el notario debe recabar los documentos que permitan identificar a su beneficiario controlador y, cuando sea persona física, debe recabar la declaración acerca de si tiene o no conocimiento de la existencia de un beneficiario controlador y, en su caso, la documentación que permita identificarlo (con las exenciones del artículo 23 Quinquies 2 de las RCG) — obligación que no tiene equivalente exacto en el régimen de compraventa inmobiliaria (Fracción V), donde el comprador suele coincidir con el beneficiario final de la operación.</w:t>
      </w:r>
    </w:p>
    <w:p>
      <w:pPr>
        <w:pBdr>
          <w:bottom w:val="single" w:color="B08D57" w:sz="6" w:space="2"/>
        </w:pBdr>
        <w:spacing w:after="140" w:before="260"/>
      </w:pPr>
      <w:r>
        <w:rPr>
          <w:rFonts w:ascii="Calibri" w:cs="Calibri" w:eastAsia="Calibri" w:hAnsi="Calibri"/>
          <w:b/>
          <w:bCs/>
          <w:color w:val="1F3864"/>
          <w:sz w:val="24"/>
          <w:szCs w:val="24"/>
        </w:rPr>
        <w:t xml:space="preserve">IV. Régimen sancionatorio diferenciado</w:t>
      </w:r>
    </w:p>
    <w:p>
      <w:pPr>
        <w:spacing w:after="120"/>
      </w:pPr>
      <w:r>
        <w:rPr>
          <w:rFonts w:ascii="Calibri" w:cs="Calibri" w:eastAsia="Calibri" w:hAnsi="Calibri"/>
          <w:sz w:val="21"/>
          <w:szCs w:val="21"/>
        </w:rPr>
        <w:t xml:space="preserve">A diferencia del régimen aplicable a inmobiliarias, el incumplimiento notarial activa una doble vía. Conforme al artículo 58 LFPIORPI, cuando la Secretaría determina que un notario ha incurrido en "notorias deficiencias" — definidas como (I) reincidencia en las fracciones I a V del artículo 53, o (II) cualquier violación a las fracciones VI o VII del mismo artículo — no lo sanciona directamente: notifica a la autoridad competente para supervisar el ejercicio de la fe pública (Tribunal Superior de Justicia o Colegio de Notarios, según la entidad federativa), para que ésta instaure el procedimiento sancionador correspondiente, sin perjuicio de las demás sanciones que procedan conforme a la LFPIORPI.</w:t>
      </w:r>
    </w:p>
    <w:p>
      <w:pPr>
        <w:spacing w:after="120"/>
      </w:pPr>
      <w:r>
        <w:rPr>
          <w:rFonts w:ascii="Calibri" w:cs="Calibri" w:eastAsia="Calibri" w:hAnsi="Calibri"/>
          <w:i/>
          <w:iCs/>
          <w:sz w:val="21"/>
          <w:szCs w:val="21"/>
        </w:rPr>
        <w:t xml:space="preserve">La sanción específica que puede imponer esa autoridad estatal — incluida una eventual suspensión o cesación del ejercicio — se rige por la Ley del Notariado de cada entidad federativa, no por la LFPIORPI directamente. [VERIFICAR: consecuencia exacta conforme a la Ley del Notariado del estado de adscripción de la Notaría.]</w:t>
      </w:r>
    </w:p>
    <w:p>
      <w:pPr>
        <w:spacing w:after="120"/>
      </w:pPr>
      <w:r>
        <w:rPr>
          <w:rFonts w:ascii="Calibri" w:cs="Calibri" w:eastAsia="Calibri" w:hAnsi="Calibri"/>
          <w:sz w:val="21"/>
          <w:szCs w:val="21"/>
        </w:rPr>
        <w:t xml:space="preserve">La multa general por omisión de avisos (Art. 53, fracc. VI) o por participar en operaciones con efectivo prohibidas por el artículo 32 (Art. 53, fracc. VII), conforme al artículo 54, fracción III, va de 10,000 a 65,000 UMA (aproximadamente $1,173,100 a $7,624,150 MXN en 2026), o del 10% al 100% del valor del acto u operación cuando éste sea cuantificable en dinero — lo que resulte MAYOR. En actos notariales de alto valor (transmisiones de inmuebles, constitución de sociedades con capital elevado), el porcentaje sobre el valor del acto puede superar ampliamente el tope en UMA.</w:t>
      </w:r>
    </w:p>
    <w:p>
      <w:pPr>
        <w:pBdr>
          <w:bottom w:val="single" w:color="B08D57" w:sz="6" w:space="2"/>
        </w:pBdr>
        <w:spacing w:after="140" w:before="260"/>
      </w:pPr>
      <w:r>
        <w:rPr>
          <w:rFonts w:ascii="Calibri" w:cs="Calibri" w:eastAsia="Calibri" w:hAnsi="Calibri"/>
          <w:b/>
          <w:bCs/>
          <w:color w:val="1F3864"/>
          <w:sz w:val="24"/>
          <w:szCs w:val="24"/>
        </w:rPr>
        <w:t xml:space="preserve">V. Conclusión</w:t>
      </w:r>
    </w:p>
    <w:p>
      <w:pPr>
        <w:spacing w:after="120"/>
      </w:pPr>
      <w:r>
        <w:rPr>
          <w:rFonts w:ascii="Calibri" w:cs="Calibri" w:eastAsia="Calibri" w:hAnsi="Calibri"/>
          <w:sz w:val="21"/>
          <w:szCs w:val="21"/>
        </w:rPr>
        <w:t xml:space="preserve">Con base en el análisis anterior, la Notaría se encuentra sujeta a las obligaciones de la LFPIORPI en la Fracción XII, Apartado A del artículo 17, respecto de los incisos [listar incisos aplicables conforme al volumen real de actos de la notaría], y deberá cumplir con la totalidad de las obligaciones establecidas en los artículos 17 al 24, así como con las obligaciones específicas de identificación de beneficiario controlador introducidas por la reforma de julio 2025. El incumplimiento puede resultar en sanciones económicas de hasta $7,624,150 MXN por infracción (o hasta el 100% del valor del acto si este monto es mayor), así como en el inicio de un procedimiento sancionador ante la autoridad estatal competente sobre la fe pública conforme al artículo 58, con las consecuencias que determine la Ley del Notariado aplicable.</w:t>
      </w:r>
    </w:p>
    <w:p/>
    <w:p>
      <w:pPr>
        <w:pBdr>
          <w:top w:val="single" w:color="B08D57" w:sz="4" w:space="4"/>
        </w:pBdr>
        <w:spacing w:before="200"/>
      </w:pPr>
      <w:r>
        <w:rPr>
          <w:rFonts w:ascii="Calibri" w:cs="Calibri" w:eastAsia="Calibri" w:hAnsi="Calibri"/>
          <w:color w:val="808080"/>
          <w:sz w:val="16"/>
          <w:szCs w:val="16"/>
        </w:rPr>
        <w:t xml:space="preserve">CERTUS CONSULTORES  |  Certus PLD  |  Mérida, Yucatán  |  999 163 1363</w:t>
      </w:r>
    </w:p>
    <w:sectPr>
      <w:pgSz w:w="12240" w:h="15840"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2026-09-09T01:16:38.549Z</dcterms:created>
  <dcterms:modified xsi:type="dcterms:W3CDTF">2026-09-09T01:16:38.549Z</dcterms:modified>
</cp:coreProperties>
</file>

<file path=docProps/custom.xml><?xml version="1.0" encoding="utf-8"?>
<Properties xmlns="http://schemas.openxmlformats.org/officeDocument/2006/custom-properties" xmlns:vt="http://schemas.openxmlformats.org/officeDocument/2006/docPropsVTypes"/>
</file>