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40"/>
              <w:left w:type="dxa" w:w="160"/>
              <w:bottom w:type="dxa" w:w="140"/>
              <w:right w:type="dxa" w:w="160"/>
            </w:tcMar>
          </w:tcPr>
          <w:p>
            <w:r>
              <w:rPr>
                <w:rFonts w:ascii="Calibri" w:cs="Calibri" w:eastAsia="Calibri" w:hAnsi="Calibri"/>
                <w:b/>
                <w:bCs/>
                <w:color w:val="FFFFFF"/>
                <w:sz w:val="22"/>
                <w:szCs w:val="22"/>
              </w:rPr>
              <w:t xml:space="preserve">CERTUS PLD</w:t>
            </w:r>
            <w:r>
              <w:rPr>
                <w:rFonts w:ascii="Calibri" w:cs="Calibri" w:eastAsia="Calibri" w:hAnsi="Calibri"/>
                <w:color w:val="B08D57"/>
                <w:sz w:val="22"/>
                <w:szCs w:val="22"/>
              </w:rPr>
              <w:t xml:space="preserve">   |   </w:t>
            </w:r>
            <w:r>
              <w:rPr>
                <w:rFonts w:ascii="Calibri" w:cs="Calibri" w:eastAsia="Calibri" w:hAnsi="Calibri"/>
                <w:b/>
                <w:bCs/>
                <w:color w:val="B08D57"/>
                <w:sz w:val="22"/>
                <w:szCs w:val="22"/>
              </w:rPr>
              <w:t xml:space="preserve">D11-B NOT </w:t>
            </w:r>
            <w:r>
              <w:rPr>
                <w:rFonts w:ascii="Calibri" w:cs="Calibri" w:eastAsia="Calibri" w:hAnsi="Calibri"/>
                <w:b/>
                <w:bCs/>
                <w:color w:val="FFFFFF"/>
                <w:sz w:val="22"/>
                <w:szCs w:val="22"/>
              </w:rPr>
              <w:t xml:space="preserve">Casos Prácticos — Certus PLD (Notarías)</w:t>
            </w:r>
          </w:p>
          <w:p>
            <w:pPr>
              <w:spacing w:before="40"/>
            </w:pPr>
            <w:r>
              <w:rPr>
                <w:rFonts w:ascii="Calibri" w:cs="Calibri" w:eastAsia="Calibri" w:hAnsi="Calibri"/>
                <w:color w:val="D9D9D9"/>
                <w:sz w:val="18"/>
                <w:szCs w:val="18"/>
              </w:rPr>
              <w:t xml:space="preserve">Notaría: [Denominación de la Notaría]   │   Variante: Fe Pública — Fracción XII LFPIORPI</w:t>
            </w:r>
          </w:p>
        </w:tc>
      </w:tr>
    </w:tbl>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DEDED" w:val="clear"/>
            <w:tcMar>
              <w:top w:type="dxa" w:w="90"/>
              <w:left w:type="dxa" w:w="110"/>
              <w:bottom w:type="dxa" w:w="90"/>
              <w:right w:type="dxa" w:w="110"/>
            </w:tcMar>
            <w:vAlign w:val="center"/>
          </w:tcPr>
          <w:p>
            <w:r>
              <w:rPr>
                <w:rFonts w:ascii="Calibri" w:cs="Calibri" w:eastAsia="Calibri" w:hAnsi="Calibri"/>
                <w:b/>
                <w:bCs/>
                <w:sz w:val="19"/>
                <w:szCs w:val="19"/>
              </w:rPr>
              <w:t xml:space="preserve">Notaría:</w:t>
            </w:r>
          </w:p>
        </w:tc>
        <w:tc>
          <w:tcPr>
            <w:tcW w:type="dxa" w:w="6150"/>
            <w:tcMar>
              <w:top w:type="dxa" w:w="90"/>
              <w:left w:type="dxa" w:w="110"/>
              <w:bottom w:type="dxa" w:w="90"/>
              <w:right w:type="dxa" w:w="110"/>
            </w:tcMar>
            <w:vAlign w:val="center"/>
          </w:tcPr>
          <w:p>
            <w:r>
              <w:rPr>
                <w:rFonts w:ascii="Calibri" w:cs="Calibri" w:eastAsia="Calibri" w:hAnsi="Calibri"/>
                <w:b w:val="false"/>
                <w:bCs w:val="false"/>
                <w:sz w:val="19"/>
                <w:szCs w:val="19"/>
              </w:rPr>
              <w:t xml:space="preserve">[Denominación completa]</w:t>
            </w:r>
          </w:p>
        </w:tc>
      </w:tr>
      <w:tr>
        <w:tc>
          <w:tcPr>
            <w:tcW w:type="dxa" w:w="3200"/>
            <w:shd w:fill="EDEDED" w:val="clear"/>
            <w:tcMar>
              <w:top w:type="dxa" w:w="90"/>
              <w:left w:type="dxa" w:w="110"/>
              <w:bottom w:type="dxa" w:w="90"/>
              <w:right w:type="dxa" w:w="110"/>
            </w:tcMar>
            <w:vAlign w:val="center"/>
          </w:tcPr>
          <w:p>
            <w:r>
              <w:rPr>
                <w:rFonts w:ascii="Calibri" w:cs="Calibri" w:eastAsia="Calibri" w:hAnsi="Calibri"/>
                <w:b/>
                <w:bCs/>
                <w:sz w:val="19"/>
                <w:szCs w:val="19"/>
              </w:rPr>
              <w:t xml:space="preserve">Fecha:</w:t>
            </w:r>
          </w:p>
        </w:tc>
        <w:tc>
          <w:tcPr>
            <w:tcW w:type="dxa" w:w="6150"/>
            <w:tcMar>
              <w:top w:type="dxa" w:w="90"/>
              <w:left w:type="dxa" w:w="110"/>
              <w:bottom w:type="dxa" w:w="90"/>
              <w:right w:type="dxa" w:w="110"/>
            </w:tcMar>
            <w:vAlign w:val="center"/>
          </w:tcPr>
          <w:p>
            <w:r>
              <w:rPr>
                <w:rFonts w:ascii="Calibri" w:cs="Calibri" w:eastAsia="Calibri" w:hAnsi="Calibri"/>
                <w:b w:val="false"/>
                <w:bCs w:val="false"/>
                <w:sz w:val="19"/>
                <w:szCs w:val="19"/>
              </w:rPr>
              <w:t xml:space="preserve">[Fecha]</w:t>
            </w:r>
          </w:p>
        </w:tc>
      </w:tr>
      <w:tr>
        <w:tc>
          <w:tcPr>
            <w:tcW w:type="dxa" w:w="3200"/>
            <w:shd w:fill="EDEDED" w:val="clear"/>
            <w:tcMar>
              <w:top w:type="dxa" w:w="90"/>
              <w:left w:type="dxa" w:w="110"/>
              <w:bottom w:type="dxa" w:w="90"/>
              <w:right w:type="dxa" w:w="110"/>
            </w:tcMar>
            <w:vAlign w:val="center"/>
          </w:tcPr>
          <w:p>
            <w:r>
              <w:rPr>
                <w:rFonts w:ascii="Calibri" w:cs="Calibri" w:eastAsia="Calibri" w:hAnsi="Calibri"/>
                <w:b/>
                <w:bCs/>
                <w:sz w:val="19"/>
                <w:szCs w:val="19"/>
              </w:rPr>
              <w:t xml:space="preserve">Uso:</w:t>
            </w:r>
          </w:p>
        </w:tc>
        <w:tc>
          <w:tcPr>
            <w:tcW w:type="dxa" w:w="6150"/>
            <w:tcMar>
              <w:top w:type="dxa" w:w="90"/>
              <w:left w:type="dxa" w:w="110"/>
              <w:bottom w:type="dxa" w:w="90"/>
              <w:right w:type="dxa" w:w="110"/>
            </w:tcMar>
            <w:vAlign w:val="center"/>
          </w:tcPr>
          <w:p>
            <w:r>
              <w:rPr>
                <w:rFonts w:ascii="Calibri" w:cs="Calibri" w:eastAsia="Calibri" w:hAnsi="Calibri"/>
                <w:b w:val="false"/>
                <w:bCs w:val="false"/>
                <w:sz w:val="19"/>
                <w:szCs w:val="19"/>
              </w:rPr>
              <w:t xml:space="preserve">Material de capacitación presencial — Programa Certus PLD</w:t>
            </w:r>
          </w:p>
        </w:tc>
      </w:tr>
      <w:tr>
        <w:tc>
          <w:tcPr>
            <w:tcW w:type="dxa" w:w="3200"/>
            <w:shd w:fill="EDEDED" w:val="clear"/>
            <w:tcMar>
              <w:top w:type="dxa" w:w="90"/>
              <w:left w:type="dxa" w:w="110"/>
              <w:bottom w:type="dxa" w:w="90"/>
              <w:right w:type="dxa" w:w="110"/>
            </w:tcMar>
            <w:vAlign w:val="center"/>
          </w:tcPr>
          <w:p>
            <w:r>
              <w:rPr>
                <w:rFonts w:ascii="Calibri" w:cs="Calibri" w:eastAsia="Calibri" w:hAnsi="Calibri"/>
                <w:b/>
                <w:bCs/>
                <w:sz w:val="19"/>
                <w:szCs w:val="19"/>
              </w:rPr>
              <w:t xml:space="preserve">Elaboró:</w:t>
            </w:r>
          </w:p>
        </w:tc>
        <w:tc>
          <w:tcPr>
            <w:tcW w:type="dxa" w:w="6150"/>
            <w:tcMar>
              <w:top w:type="dxa" w:w="90"/>
              <w:left w:type="dxa" w:w="110"/>
              <w:bottom w:type="dxa" w:w="90"/>
              <w:right w:type="dxa" w:w="110"/>
            </w:tcMar>
            <w:vAlign w:val="center"/>
          </w:tcPr>
          <w:p>
            <w:r>
              <w:rPr>
                <w:rFonts w:ascii="Calibri" w:cs="Calibri" w:eastAsia="Calibri" w:hAnsi="Calibri"/>
                <w:b w:val="false"/>
                <w:bCs w:val="false"/>
                <w:sz w:val="19"/>
                <w:szCs w:val="19"/>
              </w:rPr>
              <w:t xml:space="preserve">Certus Consultores │ Certus PLD</w:t>
            </w:r>
          </w:p>
        </w:tc>
      </w:tr>
      <w:tr>
        <w:tc>
          <w:tcPr>
            <w:tcW w:type="dxa" w:w="3200"/>
            <w:shd w:fill="EDEDED" w:val="clear"/>
            <w:tcMar>
              <w:top w:type="dxa" w:w="90"/>
              <w:left w:type="dxa" w:w="110"/>
              <w:bottom w:type="dxa" w:w="90"/>
              <w:right w:type="dxa" w:w="110"/>
            </w:tcMar>
            <w:vAlign w:val="center"/>
          </w:tcPr>
          <w:p>
            <w:r>
              <w:rPr>
                <w:rFonts w:ascii="Calibri" w:cs="Calibri" w:eastAsia="Calibri" w:hAnsi="Calibri"/>
                <w:b/>
                <w:bCs/>
                <w:sz w:val="19"/>
                <w:szCs w:val="19"/>
              </w:rPr>
              <w:t xml:space="preserve">Instrucciones:</w:t>
            </w:r>
          </w:p>
        </w:tc>
        <w:tc>
          <w:tcPr>
            <w:tcW w:type="dxa" w:w="6150"/>
            <w:tcMar>
              <w:top w:type="dxa" w:w="90"/>
              <w:left w:type="dxa" w:w="110"/>
              <w:bottom w:type="dxa" w:w="90"/>
              <w:right w:type="dxa" w:w="110"/>
            </w:tcMar>
            <w:vAlign w:val="center"/>
          </w:tcPr>
          <w:p>
            <w:r>
              <w:rPr>
                <w:rFonts w:ascii="Calibri" w:cs="Calibri" w:eastAsia="Calibri" w:hAnsi="Calibri"/>
                <w:b w:val="false"/>
                <w:bCs w:val="false"/>
                <w:sz w:val="19"/>
                <w:szCs w:val="19"/>
              </w:rPr>
              <w:t xml:space="preserve">Leer cada caso en grupo, responder las preguntas antes de revisar la respuesta modelo</w:t>
            </w:r>
          </w:p>
        </w:tc>
      </w:tr>
    </w:tbl>
    <w:p/>
    <w:p>
      <w:pPr>
        <w:spacing w:after="110"/>
      </w:pPr>
      <w:r>
        <w:rPr>
          <w:rFonts w:ascii="Calibri" w:cs="Calibri" w:eastAsia="Calibri" w:hAnsi="Calibri"/>
          <w:i/>
          <w:iCs/>
          <w:sz w:val="20"/>
          <w:szCs w:val="20"/>
        </w:rPr>
        <w:t xml:space="preserve">Los siguientes 6 casos prácticos están diseñados para reforzar el aprendizaje del Programa Certus PLD a través de situaciones reales del ejercicio notarial bajo la Fracción XII, Apartado A. Cada caso presenta una situación típica, preguntas de análisis y una respuesta modelo detallada.</w:t>
      </w:r>
    </w:p>
    <w:p>
      <w:pPr>
        <w:spacing w:after="40" w:before="220"/>
      </w:pPr>
      <w:r>
        <w:rPr>
          <w:rFonts w:ascii="Calibri" w:cs="Calibri" w:eastAsia="Calibri" w:hAnsi="Calibri"/>
          <w:b/>
          <w:bCs/>
          <w:color w:val="0A1628"/>
          <w:sz w:val="21"/>
          <w:szCs w:val="21"/>
        </w:rPr>
        <w:t xml:space="preserve">Caso 1: El poder que "no ameritaba aviso"</w:t>
      </w:r>
    </w:p>
    <w:p>
      <w:pPr>
        <w:spacing w:after="80" w:before="40"/>
      </w:pPr>
      <w:r>
        <w:rPr>
          <w:rFonts w:ascii="Calibri" w:cs="Calibri" w:eastAsia="Calibri" w:hAnsi="Calibri"/>
          <w:b/>
          <w:bCs/>
          <w:i/>
          <w:iCs/>
          <w:color w:val="0A1628"/>
          <w:sz w:val="18"/>
          <w:szCs w:val="18"/>
        </w:rPr>
        <w:t xml:space="preserve">Módulo 1 — Marco Normativo</w:t>
      </w:r>
    </w:p>
    <w:p>
      <w:pPr>
        <w:spacing w:after="40" w:before="60"/>
      </w:pPr>
      <w:r>
        <w:rPr>
          <w:rFonts w:ascii="Calibri" w:cs="Calibri" w:eastAsia="Calibri" w:hAnsi="Calibri"/>
          <w:b/>
          <w:bCs/>
          <w:sz w:val="19"/>
          <w:szCs w:val="19"/>
        </w:rPr>
        <w:t xml:space="preserve">Situación</w:t>
      </w:r>
    </w:p>
    <w:p>
      <w:pPr>
        <w:spacing w:after="110"/>
      </w:pPr>
      <w:r>
        <w:rPr>
          <w:rFonts w:ascii="Calibri" w:cs="Calibri" w:eastAsia="Calibri" w:hAnsi="Calibri"/>
          <w:sz w:val="20"/>
          <w:szCs w:val="20"/>
        </w:rPr>
        <w:t xml:space="preserve">El Notario Ricardo autoriza un poder general para actos de dominio con carácter irrevocable, otorgado por una persona física a favor de su sobrino, para que este administre y eventualmente pueda vender un rancho familiar. Como el poder no tiene un valor económico expreso asignado y no hay contraprestación de por medio, el Notario considera que "no aplica LFPIORPI porque no hay dinero de por medio" y no presenta aviso.</w:t>
      </w:r>
    </w:p>
    <w:p>
      <w:pPr>
        <w:spacing w:after="40" w:before="60"/>
      </w:pPr>
      <w:r>
        <w:rPr>
          <w:rFonts w:ascii="Calibri" w:cs="Calibri" w:eastAsia="Calibri" w:hAnsi="Calibri"/>
          <w:b/>
          <w:bCs/>
          <w:sz w:val="19"/>
          <w:szCs w:val="19"/>
        </w:rPr>
        <w:t xml:space="preserve">Preguntas de análisis</w:t>
      </w:r>
    </w:p>
    <w:p>
      <w:pPr>
        <w:spacing w:after="110"/>
      </w:pPr>
      <w:r>
        <w:rPr>
          <w:rFonts w:ascii="Calibri" w:cs="Calibri" w:eastAsia="Calibri" w:hAnsi="Calibri"/>
          <w:sz w:val="20"/>
          <w:szCs w:val="20"/>
        </w:rPr>
        <w:t xml:space="preserve">1. ¿Es correcto el razonamiento del Notario Ricardo?</w:t>
      </w:r>
    </w:p>
    <w:p>
      <w:pPr>
        <w:spacing w:after="110"/>
      </w:pPr>
      <w:r>
        <w:rPr>
          <w:rFonts w:ascii="Calibri" w:cs="Calibri" w:eastAsia="Calibri" w:hAnsi="Calibri"/>
          <w:sz w:val="20"/>
          <w:szCs w:val="20"/>
        </w:rPr>
        <w:t xml:space="preserve">2. ¿Qué inciso de la Fracción XII, Apartado A, aplica a este acto?</w:t>
      </w:r>
    </w:p>
    <w:p>
      <w:pPr>
        <w:spacing w:after="110"/>
      </w:pPr>
      <w:r>
        <w:rPr>
          <w:rFonts w:ascii="Calibri" w:cs="Calibri" w:eastAsia="Calibri" w:hAnsi="Calibri"/>
          <w:sz w:val="20"/>
          <w:szCs w:val="20"/>
        </w:rPr>
        <w:t xml:space="preserve">3. ¿El umbral económico es relevante para decidir si se presenta el aviso?</w:t>
      </w:r>
    </w:p>
    <w:p>
      <w:pPr>
        <w:spacing w:after="110"/>
      </w:pPr>
      <w:r>
        <w:rPr>
          <w:rFonts w:ascii="Calibri" w:cs="Calibri" w:eastAsia="Calibri" w:hAnsi="Calibri"/>
          <w:sz w:val="20"/>
          <w:szCs w:val="20"/>
        </w:rPr>
        <w:t xml:space="preserve">4. ¿Qué exposición sancionatoria tiene la Notaría por no haber presentado el aviso?</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RESPUESTA MODELO — Certus PLD</w:t>
            </w:r>
          </w:p>
        </w:tc>
      </w:tr>
      <w:tr>
        <w:tc>
          <w:tcPr>
            <w:tcW w:type="dxa" w:w="9350"/>
            <w:shd w:fill="F4F4F4" w:val="clear"/>
            <w:tcMar>
              <w:top w:type="dxa" w:w="90"/>
              <w:left w:type="dxa" w:w="110"/>
              <w:bottom w:type="dxa" w:w="90"/>
              <w:right w:type="dxa" w:w="110"/>
            </w:tcMar>
            <w:vAlign w:val="center"/>
          </w:tcPr>
          <w:p>
            <w:r>
              <w:rPr>
                <w:rFonts w:ascii="Calibri" w:cs="Calibri" w:eastAsia="Calibri" w:hAnsi="Calibri"/>
                <w:b w:val="false"/>
                <w:bCs w:val="false"/>
                <w:sz w:val="19"/>
                <w:szCs w:val="19"/>
              </w:rPr>
              <w:t xml:space="preserve">No es correcto. El otorgamiento de poderes para actos de administración o dominio con carácter IRREVOCABLE cae en el inciso b) de la Fracción XII, Apartado A, y este inciso es SIEMPRE objeto de aviso, sin importar si hay o no valor económico asignado al acto ni si hubo contraprestación. El umbral económico es irrelevante aquí — a diferencia del inciso a) (inmuebles), en el inciso b) no existe un piso mínimo. La omisión del aviso expone a la Notaría a una multa de 10,000 a 65,000 UMA conforme al artículo 54, fracción III, además del riesgo de que el SAT notifique a la autoridad estatal de fe pública por "notorias deficiencias" (Art. 58) si la omisión es reincidente.</w:t>
            </w:r>
          </w:p>
        </w:tc>
      </w:tr>
    </w:tbl>
    <w:p>
      <w:pPr>
        <w:spacing w:after="40" w:before="220"/>
      </w:pPr>
      <w:r>
        <w:rPr>
          <w:rFonts w:ascii="Calibri" w:cs="Calibri" w:eastAsia="Calibri" w:hAnsi="Calibri"/>
          <w:b/>
          <w:bCs/>
          <w:color w:val="0A1628"/>
          <w:sz w:val="21"/>
          <w:szCs w:val="21"/>
        </w:rPr>
        <w:t xml:space="preserve">Caso 2: El comprador con prisa</w:t>
      </w:r>
    </w:p>
    <w:p>
      <w:pPr>
        <w:spacing w:after="80" w:before="40"/>
      </w:pPr>
      <w:r>
        <w:rPr>
          <w:rFonts w:ascii="Calibri" w:cs="Calibri" w:eastAsia="Calibri" w:hAnsi="Calibri"/>
          <w:b/>
          <w:bCs/>
          <w:i/>
          <w:iCs/>
          <w:color w:val="0A1628"/>
          <w:sz w:val="18"/>
          <w:szCs w:val="18"/>
        </w:rPr>
        <w:t xml:space="preserve">Módulo 2 — Señales de Alerta</w:t>
      </w:r>
    </w:p>
    <w:p>
      <w:pPr>
        <w:spacing w:after="40" w:before="60"/>
      </w:pPr>
      <w:r>
        <w:rPr>
          <w:rFonts w:ascii="Calibri" w:cs="Calibri" w:eastAsia="Calibri" w:hAnsi="Calibri"/>
          <w:b/>
          <w:bCs/>
          <w:sz w:val="19"/>
          <w:szCs w:val="19"/>
        </w:rPr>
        <w:t xml:space="preserve">Situación</w:t>
      </w:r>
    </w:p>
    <w:p>
      <w:pPr>
        <w:spacing w:after="110"/>
      </w:pPr>
      <w:r>
        <w:rPr>
          <w:rFonts w:ascii="Calibri" w:cs="Calibri" w:eastAsia="Calibri" w:hAnsi="Calibri"/>
          <w:sz w:val="20"/>
          <w:szCs w:val="20"/>
        </w:rPr>
        <w:t xml:space="preserve">Un cliente se presenta ante el Notario para formalizar la compra de un inmueble comercial de $3,800,000 MXN. Ofrece pagar $900,000 MXN en efectivo en ese momento y el resto mediante transferencia "en los próximos días, ya vemos cómo". Cuando se le pregunta a qué se dedica, responde que "tiene varios negocios" sin especificar cuáles, y el comprobante de domicilio que presenta corresponde a un estado distinto al de su identificación oficial.</w:t>
      </w:r>
    </w:p>
    <w:p>
      <w:pPr>
        <w:spacing w:after="40" w:before="60"/>
      </w:pPr>
      <w:r>
        <w:rPr>
          <w:rFonts w:ascii="Calibri" w:cs="Calibri" w:eastAsia="Calibri" w:hAnsi="Calibri"/>
          <w:b/>
          <w:bCs/>
          <w:sz w:val="19"/>
          <w:szCs w:val="19"/>
        </w:rPr>
        <w:t xml:space="preserve">Preguntas de análisis</w:t>
      </w:r>
    </w:p>
    <w:p>
      <w:pPr>
        <w:spacing w:after="110"/>
      </w:pPr>
      <w:r>
        <w:rPr>
          <w:rFonts w:ascii="Calibri" w:cs="Calibri" w:eastAsia="Calibri" w:hAnsi="Calibri"/>
          <w:sz w:val="20"/>
          <w:szCs w:val="20"/>
        </w:rPr>
        <w:t xml:space="preserve">1. ¿Cuántas señales de alerta identificas en esta situación?</w:t>
      </w:r>
    </w:p>
    <w:p>
      <w:pPr>
        <w:spacing w:after="110"/>
      </w:pPr>
      <w:r>
        <w:rPr>
          <w:rFonts w:ascii="Calibri" w:cs="Calibri" w:eastAsia="Calibri" w:hAnsi="Calibri"/>
          <w:sz w:val="20"/>
          <w:szCs w:val="20"/>
        </w:rPr>
        <w:t xml:space="preserve">2. ¿Puede el Notario aceptar el pago en efectivo de $900,000 MXN?</w:t>
      </w:r>
    </w:p>
    <w:p>
      <w:pPr>
        <w:spacing w:after="110"/>
      </w:pPr>
      <w:r>
        <w:rPr>
          <w:rFonts w:ascii="Calibri" w:cs="Calibri" w:eastAsia="Calibri" w:hAnsi="Calibri"/>
          <w:sz w:val="20"/>
          <w:szCs w:val="20"/>
        </w:rPr>
        <w:t xml:space="preserve">3. ¿Qué debe hacer el Notario antes de autorizar la escritura?</w:t>
      </w:r>
    </w:p>
    <w:p>
      <w:pPr>
        <w:spacing w:after="110"/>
      </w:pPr>
      <w:r>
        <w:rPr>
          <w:rFonts w:ascii="Calibri" w:cs="Calibri" w:eastAsia="Calibri" w:hAnsi="Calibri"/>
          <w:sz w:val="20"/>
          <w:szCs w:val="20"/>
        </w:rPr>
        <w:t xml:space="preserve">4. ¿Aplica el umbral de identificación de forma de pago del artículo 33?</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RESPUESTA MODELO — Certus PLD</w:t>
            </w:r>
          </w:p>
        </w:tc>
      </w:tr>
      <w:tr>
        <w:tc>
          <w:tcPr>
            <w:tcW w:type="dxa" w:w="9350"/>
            <w:shd w:fill="F4F4F4" w:val="clear"/>
            <w:tcMar>
              <w:top w:type="dxa" w:w="90"/>
              <w:left w:type="dxa" w:w="110"/>
              <w:bottom w:type="dxa" w:w="90"/>
              <w:right w:type="dxa" w:w="110"/>
            </w:tcMar>
            <w:vAlign w:val="center"/>
          </w:tcPr>
          <w:p>
            <w:r>
              <w:rPr>
                <w:rFonts w:ascii="Calibri" w:cs="Calibri" w:eastAsia="Calibri" w:hAnsi="Calibri"/>
                <w:b w:val="false"/>
                <w:bCs w:val="false"/>
                <w:sz w:val="19"/>
                <w:szCs w:val="19"/>
              </w:rPr>
              <w:t xml:space="preserve">Se identifican al menos 4 señales de alerta: (1) pago en efectivo parcial, (2) origen de fondos vago ("tengo varios negocios"), (3) comprobante de domicilio inconsistente con la identificación oficial, (4) forma de pago del saldo sin definir. El pago de $900,000 MXN en efectivo SÍ puede aceptarse porque está por debajo del límite de 8,025 UMA (~$941,413 MXN) del artículo 32 — pero eso no elimina la obligación de investigar el origen de los recursos. El Notario debe completar el expediente KYC (D7-NOT) exigiendo soporte documental del origen de fondos antes de autorizar la escritura, y dado que el valor total de la operación ($3,800,000 MXN) supera el umbral de identificación de forma de pago del artículo 33 (8,025 UMA), debe dejar constancia expresa de la forma de pago en el instrumento. La combinación de señales amerita documentar un Reporte de Operación Inusual (D9-NOT).</w:t>
            </w:r>
          </w:p>
        </w:tc>
      </w:tr>
    </w:tbl>
    <w:p>
      <w:pPr>
        <w:spacing w:after="40" w:before="220"/>
      </w:pPr>
      <w:r>
        <w:rPr>
          <w:rFonts w:ascii="Calibri" w:cs="Calibri" w:eastAsia="Calibri" w:hAnsi="Calibri"/>
          <w:b/>
          <w:bCs/>
          <w:color w:val="0A1628"/>
          <w:sz w:val="21"/>
          <w:szCs w:val="21"/>
        </w:rPr>
        <w:t xml:space="preserve">Caso 3: La sociedad de la cascada</w:t>
      </w:r>
    </w:p>
    <w:p>
      <w:pPr>
        <w:spacing w:after="80" w:before="40"/>
      </w:pPr>
      <w:r>
        <w:rPr>
          <w:rFonts w:ascii="Calibri" w:cs="Calibri" w:eastAsia="Calibri" w:hAnsi="Calibri"/>
          <w:b/>
          <w:bCs/>
          <w:i/>
          <w:iCs/>
          <w:color w:val="0A1628"/>
          <w:sz w:val="18"/>
          <w:szCs w:val="18"/>
        </w:rPr>
        <w:t xml:space="preserve">Módulo 3 — Beneficiario Controlador</w:t>
      </w:r>
    </w:p>
    <w:p>
      <w:pPr>
        <w:spacing w:after="40" w:before="60"/>
      </w:pPr>
      <w:r>
        <w:rPr>
          <w:rFonts w:ascii="Calibri" w:cs="Calibri" w:eastAsia="Calibri" w:hAnsi="Calibri"/>
          <w:b/>
          <w:bCs/>
          <w:sz w:val="19"/>
          <w:szCs w:val="19"/>
        </w:rPr>
        <w:t xml:space="preserve">Situación</w:t>
      </w:r>
    </w:p>
    <w:p>
      <w:pPr>
        <w:spacing w:after="110"/>
      </w:pPr>
      <w:r>
        <w:rPr>
          <w:rFonts w:ascii="Calibri" w:cs="Calibri" w:eastAsia="Calibri" w:hAnsi="Calibri"/>
          <w:sz w:val="20"/>
          <w:szCs w:val="20"/>
        </w:rPr>
        <w:t xml:space="preserve">El Notario constituye una sociedad mercantil cuyo único socio fundador es otra persona moral constituida en una jurisdicción extranjera. Al solicitar la documentación del beneficiario controlador, el gestor que tramita el acto le indica que "eso no es necesario porque el socio es una empresa, no una persona física" y que basta con los datos del apoderado que comparece a firmar.</w:t>
      </w:r>
    </w:p>
    <w:p>
      <w:pPr>
        <w:spacing w:after="40" w:before="60"/>
      </w:pPr>
      <w:r>
        <w:rPr>
          <w:rFonts w:ascii="Calibri" w:cs="Calibri" w:eastAsia="Calibri" w:hAnsi="Calibri"/>
          <w:b/>
          <w:bCs/>
          <w:sz w:val="19"/>
          <w:szCs w:val="19"/>
        </w:rPr>
        <w:t xml:space="preserve">Preguntas de análisis</w:t>
      </w:r>
    </w:p>
    <w:p>
      <w:pPr>
        <w:spacing w:after="110"/>
      </w:pPr>
      <w:r>
        <w:rPr>
          <w:rFonts w:ascii="Calibri" w:cs="Calibri" w:eastAsia="Calibri" w:hAnsi="Calibri"/>
          <w:sz w:val="20"/>
          <w:szCs w:val="20"/>
        </w:rPr>
        <w:t xml:space="preserve">1. ¿Es correcto el razonamiento del gestor?</w:t>
      </w:r>
    </w:p>
    <w:p>
      <w:pPr>
        <w:spacing w:after="110"/>
      </w:pPr>
      <w:r>
        <w:rPr>
          <w:rFonts w:ascii="Calibri" w:cs="Calibri" w:eastAsia="Calibri" w:hAnsi="Calibri"/>
          <w:sz w:val="20"/>
          <w:szCs w:val="20"/>
        </w:rPr>
        <w:t xml:space="preserve">2. ¿Qué obligación específica introdujo la reforma de julio 2025 en este tipo de actos?</w:t>
      </w:r>
    </w:p>
    <w:p>
      <w:pPr>
        <w:spacing w:after="110"/>
      </w:pPr>
      <w:r>
        <w:rPr>
          <w:rFonts w:ascii="Calibri" w:cs="Calibri" w:eastAsia="Calibri" w:hAnsi="Calibri"/>
          <w:sz w:val="20"/>
          <w:szCs w:val="20"/>
        </w:rPr>
        <w:t xml:space="preserve">3. ¿Basta con identificar al apoderado que comparece a la firma?</w:t>
      </w:r>
    </w:p>
    <w:p>
      <w:pPr>
        <w:spacing w:after="110"/>
      </w:pPr>
      <w:r>
        <w:rPr>
          <w:rFonts w:ascii="Calibri" w:cs="Calibri" w:eastAsia="Calibri" w:hAnsi="Calibri"/>
          <w:sz w:val="20"/>
          <w:szCs w:val="20"/>
        </w:rPr>
        <w:t xml:space="preserve">4. ¿Qué riesgo representa una estructura societaria en cascada para efectos PLD/FT?</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RESPUESTA MODELO — Certus PLD</w:t>
            </w:r>
          </w:p>
        </w:tc>
      </w:tr>
      <w:tr>
        <w:tc>
          <w:tcPr>
            <w:tcW w:type="dxa" w:w="9350"/>
            <w:shd w:fill="F4F4F4" w:val="clear"/>
            <w:tcMar>
              <w:top w:type="dxa" w:w="90"/>
              <w:left w:type="dxa" w:w="110"/>
              <w:bottom w:type="dxa" w:w="90"/>
              <w:right w:type="dxa" w:w="110"/>
            </w:tcMar>
            <w:vAlign w:val="center"/>
          </w:tcPr>
          <w:p>
            <w:r>
              <w:rPr>
                <w:rFonts w:ascii="Calibri" w:cs="Calibri" w:eastAsia="Calibri" w:hAnsi="Calibri"/>
                <w:b w:val="false"/>
                <w:bCs w:val="false"/>
                <w:sz w:val="19"/>
                <w:szCs w:val="19"/>
              </w:rPr>
              <w:t xml:space="preserve">No es correcto. Cuando el cliente es una persona moral, la obligación —reforzada por la reforma de julio 2025 a la Fracción XII— es identificar a la persona física que en última instancia ejerce el control efectivo (beneficiario controlador), aun cuando esta no tenga relación directa y aparente con el compareciente. No basta con los datos del apoderado que firma: este es solo el representante del acto, no necesariamente el beneficiario controlador. Una estructura en cascada (persona moral extranjera como único socio) es precisamente el tipo de estructura que dificulta identificar al control final y que representa mayor riesgo conforme al Factor 1 y al Factor 3 de la Metodología EBR (D6-NOT) — el expediente debe documentarse en la Sección E del D7-NOT antes de autorizar el instrumento.</w:t>
            </w:r>
          </w:p>
        </w:tc>
      </w:tr>
    </w:tbl>
    <w:p>
      <w:pPr>
        <w:spacing w:after="40" w:before="220"/>
      </w:pPr>
      <w:r>
        <w:rPr>
          <w:rFonts w:ascii="Calibri" w:cs="Calibri" w:eastAsia="Calibri" w:hAnsi="Calibri"/>
          <w:b/>
          <w:bCs/>
          <w:color w:val="0A1628"/>
          <w:sz w:val="21"/>
          <w:szCs w:val="21"/>
        </w:rPr>
        <w:t xml:space="preserve">Caso 4: La regidora que quiere vender</w:t>
      </w:r>
    </w:p>
    <w:p>
      <w:pPr>
        <w:spacing w:after="80" w:before="40"/>
      </w:pPr>
      <w:r>
        <w:rPr>
          <w:rFonts w:ascii="Calibri" w:cs="Calibri" w:eastAsia="Calibri" w:hAnsi="Calibri"/>
          <w:b/>
          <w:bCs/>
          <w:i/>
          <w:iCs/>
          <w:color w:val="0A1628"/>
          <w:sz w:val="18"/>
          <w:szCs w:val="18"/>
        </w:rPr>
        <w:t xml:space="preserve">Módulo 4 — PEP's</w:t>
      </w:r>
    </w:p>
    <w:p>
      <w:pPr>
        <w:spacing w:after="40" w:before="60"/>
      </w:pPr>
      <w:r>
        <w:rPr>
          <w:rFonts w:ascii="Calibri" w:cs="Calibri" w:eastAsia="Calibri" w:hAnsi="Calibri"/>
          <w:b/>
          <w:bCs/>
          <w:sz w:val="19"/>
          <w:szCs w:val="19"/>
        </w:rPr>
        <w:t xml:space="preserve">Situación</w:t>
      </w:r>
    </w:p>
    <w:p>
      <w:pPr>
        <w:spacing w:after="110"/>
      </w:pPr>
      <w:r>
        <w:rPr>
          <w:rFonts w:ascii="Calibri" w:cs="Calibri" w:eastAsia="Calibri" w:hAnsi="Calibri"/>
          <w:sz w:val="20"/>
          <w:szCs w:val="20"/>
        </w:rPr>
        <w:t xml:space="preserve">Una clienta se presenta a vender un inmueble de $6,200,000 MXN. Durante la identificación menciona que actualmente es Regidora del Ayuntamiento. El pasante que atiende el trámite considera que, como "solo está vendiendo, no comprando", no es necesario aplicar el procedimiento de PEP's.</w:t>
      </w:r>
    </w:p>
    <w:p>
      <w:pPr>
        <w:spacing w:after="40" w:before="60"/>
      </w:pPr>
      <w:r>
        <w:rPr>
          <w:rFonts w:ascii="Calibri" w:cs="Calibri" w:eastAsia="Calibri" w:hAnsi="Calibri"/>
          <w:b/>
          <w:bCs/>
          <w:sz w:val="19"/>
          <w:szCs w:val="19"/>
        </w:rPr>
        <w:t xml:space="preserve">Preguntas de análisis</w:t>
      </w:r>
    </w:p>
    <w:p>
      <w:pPr>
        <w:spacing w:after="110"/>
      </w:pPr>
      <w:r>
        <w:rPr>
          <w:rFonts w:ascii="Calibri" w:cs="Calibri" w:eastAsia="Calibri" w:hAnsi="Calibri"/>
          <w:sz w:val="20"/>
          <w:szCs w:val="20"/>
        </w:rPr>
        <w:t xml:space="preserve">1. ¿Es correcta la distinción que hace el pasante entre comprar y vender?</w:t>
      </w:r>
    </w:p>
    <w:p>
      <w:pPr>
        <w:spacing w:after="110"/>
      </w:pPr>
      <w:r>
        <w:rPr>
          <w:rFonts w:ascii="Calibri" w:cs="Calibri" w:eastAsia="Calibri" w:hAnsi="Calibri"/>
          <w:sz w:val="20"/>
          <w:szCs w:val="20"/>
        </w:rPr>
        <w:t xml:space="preserve">2. ¿Es la clienta un PEP conforme a la LFPIORPI?</w:t>
      </w:r>
    </w:p>
    <w:p>
      <w:pPr>
        <w:spacing w:after="110"/>
      </w:pPr>
      <w:r>
        <w:rPr>
          <w:rFonts w:ascii="Calibri" w:cs="Calibri" w:eastAsia="Calibri" w:hAnsi="Calibri"/>
          <w:sz w:val="20"/>
          <w:szCs w:val="20"/>
        </w:rPr>
        <w:t xml:space="preserve">3. ¿Qué medidas de debida diligencia reforzada corresponden?</w:t>
      </w:r>
    </w:p>
    <w:p>
      <w:pPr>
        <w:spacing w:after="110"/>
      </w:pPr>
      <w:r>
        <w:rPr>
          <w:rFonts w:ascii="Calibri" w:cs="Calibri" w:eastAsia="Calibri" w:hAnsi="Calibri"/>
          <w:sz w:val="20"/>
          <w:szCs w:val="20"/>
        </w:rPr>
        <w:t xml:space="preserve">4. ¿Puede el pasante autorizar el trámite sin escalar al Notario?</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RESPUESTA MODELO — Certus PLD</w:t>
            </w:r>
          </w:p>
        </w:tc>
      </w:tr>
      <w:tr>
        <w:tc>
          <w:tcPr>
            <w:tcW w:type="dxa" w:w="9350"/>
            <w:shd w:fill="F4F4F4" w:val="clear"/>
            <w:tcMar>
              <w:top w:type="dxa" w:w="90"/>
              <w:left w:type="dxa" w:w="110"/>
              <w:bottom w:type="dxa" w:w="90"/>
              <w:right w:type="dxa" w:w="110"/>
            </w:tcMar>
            <w:vAlign w:val="center"/>
          </w:tcPr>
          <w:p>
            <w:r>
              <w:rPr>
                <w:rFonts w:ascii="Calibri" w:cs="Calibri" w:eastAsia="Calibri" w:hAnsi="Calibri"/>
                <w:b w:val="false"/>
                <w:bCs w:val="false"/>
                <w:sz w:val="19"/>
                <w:szCs w:val="19"/>
              </w:rPr>
              <w:t xml:space="preserve">La distinción es incorrecta — la calidad de PEP se evalúa respecto de la persona, no del sentido de la operación (comprar o vender); ambas partes de un acto notarial deben identificarse y evaluarse. Sí, una Regidora de Ayuntamiento es un PEP conforme a la LFPIORPI. Corresponde aplicar debida diligencia reforzada: verificación de que el valor de la operación sea congruente con los ingresos declarados de la funcionaria, solicitud de declaración patrimonial o fiscal, y documentación reforzada en el expediente KYC (Sección F, D7-NOT). El pasante NO puede autorizar el trámite por su cuenta — debe escalarse al Notario Titular, quien es personal y directamente responsable de aprobar operaciones con PEP's conforme a la Política D8.</w:t>
            </w:r>
          </w:p>
        </w:tc>
      </w:tr>
    </w:tbl>
    <w:p>
      <w:pPr>
        <w:spacing w:after="40" w:before="220"/>
      </w:pPr>
      <w:r>
        <w:rPr>
          <w:rFonts w:ascii="Calibri" w:cs="Calibri" w:eastAsia="Calibri" w:hAnsi="Calibri"/>
          <w:b/>
          <w:bCs/>
          <w:color w:val="0A1628"/>
          <w:sz w:val="21"/>
          <w:szCs w:val="21"/>
        </w:rPr>
        <w:t xml:space="preserve">Caso 5: El préstamo entre "amigos"</w:t>
      </w:r>
    </w:p>
    <w:p>
      <w:pPr>
        <w:spacing w:after="80" w:before="40"/>
      </w:pPr>
      <w:r>
        <w:rPr>
          <w:rFonts w:ascii="Calibri" w:cs="Calibri" w:eastAsia="Calibri" w:hAnsi="Calibri"/>
          <w:b/>
          <w:bCs/>
          <w:i/>
          <w:iCs/>
          <w:color w:val="0A1628"/>
          <w:sz w:val="18"/>
          <w:szCs w:val="18"/>
        </w:rPr>
        <w:t xml:space="preserve">Módulo 5 — Mutuos y Fideicomisos</w:t>
      </w:r>
    </w:p>
    <w:p>
      <w:pPr>
        <w:spacing w:after="40" w:before="60"/>
      </w:pPr>
      <w:r>
        <w:rPr>
          <w:rFonts w:ascii="Calibri" w:cs="Calibri" w:eastAsia="Calibri" w:hAnsi="Calibri"/>
          <w:b/>
          <w:bCs/>
          <w:sz w:val="19"/>
          <w:szCs w:val="19"/>
        </w:rPr>
        <w:t xml:space="preserve">Situación</w:t>
      </w:r>
    </w:p>
    <w:p>
      <w:pPr>
        <w:spacing w:after="110"/>
      </w:pPr>
      <w:r>
        <w:rPr>
          <w:rFonts w:ascii="Calibri" w:cs="Calibri" w:eastAsia="Calibri" w:hAnsi="Calibri"/>
          <w:sz w:val="20"/>
          <w:szCs w:val="20"/>
        </w:rPr>
        <w:t xml:space="preserve">Dos personas sin parentesco ni relación comercial previa comparecen ante el Notario para formalizar un contrato de mutuo por $2,000,000 MXN, sin garantía y sin intereses. El mutuante declara ser empleado con ingresos mensuales de $35,000 MXN. El mutuatario no explica el destino de los recursos.</w:t>
      </w:r>
    </w:p>
    <w:p>
      <w:pPr>
        <w:spacing w:after="40" w:before="60"/>
      </w:pPr>
      <w:r>
        <w:rPr>
          <w:rFonts w:ascii="Calibri" w:cs="Calibri" w:eastAsia="Calibri" w:hAnsi="Calibri"/>
          <w:b/>
          <w:bCs/>
          <w:sz w:val="19"/>
          <w:szCs w:val="19"/>
        </w:rPr>
        <w:t xml:space="preserve">Preguntas de análisis</w:t>
      </w:r>
    </w:p>
    <w:p>
      <w:pPr>
        <w:spacing w:after="110"/>
      </w:pPr>
      <w:r>
        <w:rPr>
          <w:rFonts w:ascii="Calibri" w:cs="Calibri" w:eastAsia="Calibri" w:hAnsi="Calibri"/>
          <w:sz w:val="20"/>
          <w:szCs w:val="20"/>
        </w:rPr>
        <w:t xml:space="preserve">1. ¿Este acto requiere aviso al SAT, y bajo qué inciso?</w:t>
      </w:r>
    </w:p>
    <w:p>
      <w:pPr>
        <w:spacing w:after="110"/>
      </w:pPr>
      <w:r>
        <w:rPr>
          <w:rFonts w:ascii="Calibri" w:cs="Calibri" w:eastAsia="Calibri" w:hAnsi="Calibri"/>
          <w:sz w:val="20"/>
          <w:szCs w:val="20"/>
        </w:rPr>
        <w:t xml:space="preserve">2. ¿El monto del mutuo es congruente con el perfil declarado del mutuante?</w:t>
      </w:r>
    </w:p>
    <w:p>
      <w:pPr>
        <w:spacing w:after="110"/>
      </w:pPr>
      <w:r>
        <w:rPr>
          <w:rFonts w:ascii="Calibri" w:cs="Calibri" w:eastAsia="Calibri" w:hAnsi="Calibri"/>
          <w:sz w:val="20"/>
          <w:szCs w:val="20"/>
        </w:rPr>
        <w:t xml:space="preserve">3. ¿Qué nivel de riesgo asignarías conforme a la Metodología EBR (D6-NOT)?</w:t>
      </w:r>
    </w:p>
    <w:p>
      <w:pPr>
        <w:spacing w:after="110"/>
      </w:pPr>
      <w:r>
        <w:rPr>
          <w:rFonts w:ascii="Calibri" w:cs="Calibri" w:eastAsia="Calibri" w:hAnsi="Calibri"/>
          <w:sz w:val="20"/>
          <w:szCs w:val="20"/>
        </w:rPr>
        <w:t xml:space="preserve">4. ¿Debe el Notario abstenerse de formalizar el acto?</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RESPUESTA MODELO — Certus PLD</w:t>
            </w:r>
          </w:p>
        </w:tc>
      </w:tr>
      <w:tr>
        <w:tc>
          <w:tcPr>
            <w:tcW w:type="dxa" w:w="9350"/>
            <w:shd w:fill="F4F4F4" w:val="clear"/>
            <w:tcMar>
              <w:top w:type="dxa" w:w="90"/>
              <w:left w:type="dxa" w:w="110"/>
              <w:bottom w:type="dxa" w:w="90"/>
              <w:right w:type="dxa" w:w="110"/>
            </w:tcMar>
            <w:vAlign w:val="center"/>
          </w:tcPr>
          <w:p>
            <w:r>
              <w:rPr>
                <w:rFonts w:ascii="Calibri" w:cs="Calibri" w:eastAsia="Calibri" w:hAnsi="Calibri"/>
                <w:b w:val="false"/>
                <w:bCs w:val="false"/>
                <w:sz w:val="19"/>
                <w:szCs w:val="19"/>
              </w:rPr>
              <w:t xml:space="preserve">El acto cae en el inciso e) de la Fracción XII, Apartado A — contratos de mutuo o crédito donde el acreedor no forma parte del sistema financiero — y es SIEMPRE objeto de aviso, sin importar el monto. El monto de $2,000,000 MXN NO es congruente con el perfil de un empleado con ingresos de $35,000 MXN mensuales, lo cual es una señal de alerta relevante (Factor 2, D6-NOT). Combinando ausencia de vínculo entre las partes, ausencia de garantía, ausencia de interés y falta de justificación del destino de los recursos, el acto debe clasificarse como riesgo ALTO. El Notario puede formalizar el acto si las partes proporcionan la información requerida (Art. 21), pero debe documentar un Reporte de Operación Inusual (D9-NOT) y presentar el aviso correspondiente dentro de las 24 horas siguientes a la detección de la sospecha.</w:t>
            </w:r>
          </w:p>
        </w:tc>
      </w:tr>
    </w:tbl>
    <w:p>
      <w:pPr>
        <w:spacing w:after="40" w:before="220"/>
      </w:pPr>
      <w:r>
        <w:rPr>
          <w:rFonts w:ascii="Calibri" w:cs="Calibri" w:eastAsia="Calibri" w:hAnsi="Calibri"/>
          <w:b/>
          <w:bCs/>
          <w:color w:val="0A1628"/>
          <w:sz w:val="21"/>
          <w:szCs w:val="21"/>
        </w:rPr>
        <w:t xml:space="preserve">Caso 6: El aviso que se quedó en el cajón</w:t>
      </w:r>
    </w:p>
    <w:p>
      <w:pPr>
        <w:spacing w:after="80" w:before="40"/>
      </w:pPr>
      <w:r>
        <w:rPr>
          <w:rFonts w:ascii="Calibri" w:cs="Calibri" w:eastAsia="Calibri" w:hAnsi="Calibri"/>
          <w:b/>
          <w:bCs/>
          <w:i/>
          <w:iCs/>
          <w:color w:val="0A1628"/>
          <w:sz w:val="18"/>
          <w:szCs w:val="18"/>
        </w:rPr>
        <w:t xml:space="preserve">Módulo 6 — Reportes y Avisos</w:t>
      </w:r>
    </w:p>
    <w:p>
      <w:pPr>
        <w:spacing w:after="40" w:before="60"/>
      </w:pPr>
      <w:r>
        <w:rPr>
          <w:rFonts w:ascii="Calibri" w:cs="Calibri" w:eastAsia="Calibri" w:hAnsi="Calibri"/>
          <w:b/>
          <w:bCs/>
          <w:sz w:val="19"/>
          <w:szCs w:val="19"/>
        </w:rPr>
        <w:t xml:space="preserve">Situación</w:t>
      </w:r>
    </w:p>
    <w:p>
      <w:pPr>
        <w:spacing w:after="110"/>
      </w:pPr>
      <w:r>
        <w:rPr>
          <w:rFonts w:ascii="Calibri" w:cs="Calibri" w:eastAsia="Calibri" w:hAnsi="Calibri"/>
          <w:sz w:val="20"/>
          <w:szCs w:val="20"/>
        </w:rPr>
        <w:t xml:space="preserve">Es día 20 del mes. El Notario revisa el control de avisos (D12-NOT) y descubre que el mes anterior autorizó la constitución de una sociedad (inciso c) — acto que es SIEMPRE objeto de aviso — pero el aviso nunca se presentó porque "como no había umbral de por medio, se pasó por alto". Un colaborador sugiere "mejor no presentarlo tarde, para no generar una alerta innecesaria".</w:t>
      </w:r>
    </w:p>
    <w:p>
      <w:pPr>
        <w:spacing w:after="40" w:before="60"/>
      </w:pPr>
      <w:r>
        <w:rPr>
          <w:rFonts w:ascii="Calibri" w:cs="Calibri" w:eastAsia="Calibri" w:hAnsi="Calibri"/>
          <w:b/>
          <w:bCs/>
          <w:sz w:val="19"/>
          <w:szCs w:val="19"/>
        </w:rPr>
        <w:t xml:space="preserve">Preguntas de análisis</w:t>
      </w:r>
    </w:p>
    <w:p>
      <w:pPr>
        <w:spacing w:after="110"/>
      </w:pPr>
      <w:r>
        <w:rPr>
          <w:rFonts w:ascii="Calibri" w:cs="Calibri" w:eastAsia="Calibri" w:hAnsi="Calibri"/>
          <w:sz w:val="20"/>
          <w:szCs w:val="20"/>
        </w:rPr>
        <w:t xml:space="preserve">1. ¿Es correcta la recomendación del colaborador?</w:t>
      </w:r>
    </w:p>
    <w:p>
      <w:pPr>
        <w:spacing w:after="110"/>
      </w:pPr>
      <w:r>
        <w:rPr>
          <w:rFonts w:ascii="Calibri" w:cs="Calibri" w:eastAsia="Calibri" w:hAnsi="Calibri"/>
          <w:sz w:val="20"/>
          <w:szCs w:val="20"/>
        </w:rPr>
        <w:t xml:space="preserve">2. ¿Qué exposición tiene el Notario por la omisión ya ocurrida?</w:t>
      </w:r>
    </w:p>
    <w:p>
      <w:pPr>
        <w:spacing w:after="110"/>
      </w:pPr>
      <w:r>
        <w:rPr>
          <w:rFonts w:ascii="Calibri" w:cs="Calibri" w:eastAsia="Calibri" w:hAnsi="Calibri"/>
          <w:sz w:val="20"/>
          <w:szCs w:val="20"/>
        </w:rPr>
        <w:t xml:space="preserve">3. ¿Cambia algo si el Notario presenta el aviso de forma espontánea, antes de que el SAT inicie una verificación?</w:t>
      </w:r>
    </w:p>
    <w:p>
      <w:pPr>
        <w:spacing w:after="110"/>
      </w:pPr>
      <w:r>
        <w:rPr>
          <w:rFonts w:ascii="Calibri" w:cs="Calibri" w:eastAsia="Calibri" w:hAnsi="Calibri"/>
          <w:sz w:val="20"/>
          <w:szCs w:val="20"/>
        </w:rPr>
        <w:t xml:space="preserve">4. ¿Qué medida debe adoptarse para que esto no vuelva a ocurrir?</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RESPUESTA MODELO — Certus PLD</w:t>
            </w:r>
          </w:p>
        </w:tc>
      </w:tr>
      <w:tr>
        <w:tc>
          <w:tcPr>
            <w:tcW w:type="dxa" w:w="9350"/>
            <w:shd w:fill="F4F4F4" w:val="clear"/>
            <w:tcMar>
              <w:top w:type="dxa" w:w="90"/>
              <w:left w:type="dxa" w:w="110"/>
              <w:bottom w:type="dxa" w:w="90"/>
              <w:right w:type="dxa" w:w="110"/>
            </w:tcMar>
            <w:vAlign w:val="center"/>
          </w:tcPr>
          <w:p>
            <w:r>
              <w:rPr>
                <w:rFonts w:ascii="Calibri" w:cs="Calibri" w:eastAsia="Calibri" w:hAnsi="Calibri"/>
                <w:b w:val="false"/>
                <w:bCs w:val="false"/>
                <w:sz w:val="19"/>
                <w:szCs w:val="19"/>
              </w:rPr>
              <w:t xml:space="preserve">La recomendación es incorrecta y riesgosa. No presentar el aviso agrava la exposición: convierte una omisión corregible en un incumplimiento continuado, y si el SAT lo detecta primero, se pierde la posibilidad de acogerse a la actuación espontánea del artículo 55. La exposición actual es de 10,000 a 65,000 UMA o hasta el 100% del valor del acto (Art. 54, fracc. III), y la reincidencia en este tipo de omisión es justamente lo que el artículo 58 califica como "notoria deficiencia" que activa el procedimiento ante la autoridad estatal de fe pública. Si el Notario presenta el aviso de forma espontánea y reconoce la falta antes de que inicien las facultades de verificación del SAT, puede acogerse al Art. 55 de la Ley (abstención de sancionar por única ocasión o, si ya se ejerció, reducción de hasta 50% de la multa). Para que no vuelva a ocurrir, debe reforzarse el hábito de que TODOS los actos de los incisos b), c) y e) se registran en el D12-NOT desde el día del acto, sin esperar a evaluar si hay o no umbral — porque en esos tres incisos no lo hay.</w:t>
            </w:r>
          </w:p>
        </w:tc>
      </w:tr>
    </w:tbl>
    <w:p/>
    <w:p>
      <w:pPr>
        <w:pBdr>
          <w:top w:val="single" w:color="B08D57" w:sz="4" w:space="4"/>
        </w:pBdr>
        <w:spacing w:before="200"/>
      </w:pPr>
      <w:r>
        <w:rPr>
          <w:rFonts w:ascii="Calibri" w:cs="Calibri" w:eastAsia="Calibri" w:hAnsi="Calibri"/>
          <w:color w:val="808080"/>
          <w:sz w:val="16"/>
          <w:szCs w:val="16"/>
        </w:rPr>
        <w:t xml:space="preserve">CERTUS CONSULTORES  |  Certus PLD  |  Mérida, Yucatán  |  999 163 1363</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2026-09-09T01:42:50.010Z</dcterms:created>
  <dcterms:modified xsi:type="dcterms:W3CDTF">2026-09-09T01:42:50.010Z</dcterms:modified>
</cp:coreProperties>
</file>

<file path=docProps/custom.xml><?xml version="1.0" encoding="utf-8"?>
<Properties xmlns="http://schemas.openxmlformats.org/officeDocument/2006/custom-properties" xmlns:vt="http://schemas.openxmlformats.org/officeDocument/2006/docPropsVTypes"/>
</file>