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D13-NOT </w:t>
            </w:r>
            <w:r>
              <w:rPr>
                <w:rFonts w:ascii="Calibri" w:cs="Calibri" w:eastAsia="Calibri" w:hAnsi="Calibri"/>
                <w:b/>
                <w:bCs/>
                <w:color w:val="FFFFFF"/>
                <w:sz w:val="22"/>
                <w:szCs w:val="22"/>
              </w:rPr>
              <w:t xml:space="preserve">Informe de Auditoría Interna Certus PLD — Notarías</w:t>
            </w:r>
          </w:p>
          <w:p>
            <w:pPr>
              <w:spacing w:before="40"/>
            </w:pPr>
            <w:r>
              <w:rPr>
                <w:rFonts w:ascii="Calibri" w:cs="Calibri" w:eastAsia="Calibri" w:hAnsi="Calibri"/>
                <w:color w:val="D9D9D9"/>
                <w:sz w:val="18"/>
                <w:szCs w:val="18"/>
              </w:rPr>
              <w:t xml:space="preserve">Notaría: [NOMBRE DE LA NOTARIA]   │   Variante: Fe Pública — Fracción XII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Notaría: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[NOMBRE DE LA NOTARIA]</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Periodo auditado: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[Mes/Año] al [Mes/Año]</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Auditor interno: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[Notario Titular / Encargado Operativo, en su caso]</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Auditor externo: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CERTUS CONSULTORES │ Certus PLD</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Contacto: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contacto@certusconsultores.com.mx │ 999 163 1363</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Fecha del informe:</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Tipo de auditoría: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 Programada    [ ] Especial    [ ] Por requerimiento de autoridad</w:t>
            </w:r>
          </w:p>
        </w:tc>
      </w:tr>
    </w:tbl>
    <w:p/>
    <w:p>
      <w:pPr>
        <w:pBdr>
          <w:bottom w:val="single" w:color="B08D57" w:sz="6" w:space="2"/>
        </w:pBdr>
        <w:spacing w:after="120" w:before="240"/>
      </w:pPr>
      <w:r>
        <w:rPr>
          <w:rFonts w:ascii="Calibri" w:cs="Calibri" w:eastAsia="Calibri" w:hAnsi="Calibri"/>
          <w:b/>
          <w:bCs/>
          <w:color w:val="1F3864"/>
          <w:sz w:val="23"/>
          <w:szCs w:val="23"/>
        </w:rPr>
        <w:t xml:space="preserve">I. Objetivo y Alcance</w:t>
      </w:r>
    </w:p>
    <w:p>
      <w:pPr>
        <w:spacing w:after="110"/>
      </w:pPr>
      <w:r>
        <w:rPr>
          <w:rFonts w:ascii="Calibri" w:cs="Calibri" w:eastAsia="Calibri" w:hAnsi="Calibri"/>
          <w:i/>
          <w:iCs/>
          <w:color w:val="595959"/>
          <w:sz w:val="18"/>
          <w:szCs w:val="18"/>
        </w:rPr>
        <w:t xml:space="preserve">El presente informe documenta los resultados de la auditoría interna practicada al Programa Certus PLD de la Notaría, conforme al artículo 18, fracción XI, de la LFPIORPI (obligación introducida por la reforma de julio 2025). El objetivo es verificar que los procedimientos, controles y registros del programa funcionen correctamente y cumplan con la normatividad vigente.</w:t>
      </w:r>
    </w:p>
    <w:p>
      <w:pPr>
        <w:pBdr>
          <w:bottom w:val="single" w:color="B08D57" w:sz="6" w:space="2"/>
        </w:pBdr>
        <w:spacing w:after="120" w:before="240"/>
      </w:pPr>
      <w:r>
        <w:rPr>
          <w:rFonts w:ascii="Calibri" w:cs="Calibri" w:eastAsia="Calibri" w:hAnsi="Calibri"/>
          <w:b/>
          <w:bCs/>
          <w:color w:val="1F3864"/>
          <w:sz w:val="23"/>
          <w:szCs w:val="23"/>
        </w:rPr>
        <w:t xml:space="preserve">II. Metodología de Auditoría</w:t>
      </w:r>
    </w:p>
    <w:p>
      <w:pPr>
        <w:pStyle w:val="ListParagraph"/>
        <w:numPr>
          <w:ilvl w:val="0"/>
          <w:numId w:val="1"/>
        </w:numPr>
        <w:spacing w:after="50"/>
      </w:pPr>
      <w:r>
        <w:rPr>
          <w:rFonts w:ascii="Calibri" w:cs="Calibri" w:eastAsia="Calibri" w:hAnsi="Calibri"/>
          <w:sz w:val="20"/>
          <w:szCs w:val="20"/>
        </w:rPr>
        <w:t xml:space="preserve">Revisión documental de expedientes KYC del periodo (D7-NOT)</w:t>
      </w:r>
    </w:p>
    <w:p>
      <w:pPr>
        <w:pStyle w:val="ListParagraph"/>
        <w:numPr>
          <w:ilvl w:val="0"/>
          <w:numId w:val="1"/>
        </w:numPr>
        <w:spacing w:after="50"/>
      </w:pPr>
      <w:r>
        <w:rPr>
          <w:rFonts w:ascii="Calibri" w:cs="Calibri" w:eastAsia="Calibri" w:hAnsi="Calibri"/>
          <w:sz w:val="20"/>
          <w:szCs w:val="20"/>
        </w:rPr>
        <w:t xml:space="preserve">Verificación de la presentación oportuna de avisos — con atención especial a los incisos b), c) y e), que son SIEMPRE objeto de aviso</w:t>
      </w:r>
    </w:p>
    <w:p>
      <w:pPr>
        <w:pStyle w:val="ListParagraph"/>
        <w:numPr>
          <w:ilvl w:val="0"/>
          <w:numId w:val="1"/>
        </w:numPr>
        <w:spacing w:after="50"/>
      </w:pPr>
      <w:r>
        <w:rPr>
          <w:rFonts w:ascii="Calibri" w:cs="Calibri" w:eastAsia="Calibri" w:hAnsi="Calibri"/>
          <w:sz w:val="20"/>
          <w:szCs w:val="20"/>
        </w:rPr>
        <w:t xml:space="preserve">Revisión de la lista de asistencia a capacitaciones Certus PLD</w:t>
      </w:r>
    </w:p>
    <w:p>
      <w:pPr>
        <w:pStyle w:val="ListParagraph"/>
        <w:numPr>
          <w:ilvl w:val="0"/>
          <w:numId w:val="1"/>
        </w:numPr>
        <w:spacing w:after="50"/>
      </w:pPr>
      <w:r>
        <w:rPr>
          <w:rFonts w:ascii="Calibri" w:cs="Calibri" w:eastAsia="Calibri" w:hAnsi="Calibri"/>
          <w:sz w:val="20"/>
          <w:szCs w:val="20"/>
        </w:rPr>
        <w:t xml:space="preserve">Verificación del sistema de resguardo documental (D10-NOT)</w:t>
      </w:r>
    </w:p>
    <w:p>
      <w:pPr>
        <w:pStyle w:val="ListParagraph"/>
        <w:numPr>
          <w:ilvl w:val="0"/>
          <w:numId w:val="1"/>
        </w:numPr>
        <w:spacing w:after="50"/>
      </w:pPr>
      <w:r>
        <w:rPr>
          <w:rFonts w:ascii="Calibri" w:cs="Calibri" w:eastAsia="Calibri" w:hAnsi="Calibri"/>
          <w:sz w:val="20"/>
          <w:szCs w:val="20"/>
        </w:rPr>
        <w:t xml:space="preserve">Entrevista al Notario Titular y, en su caso, al Encargado Operativo interno (D2-NOT)</w:t>
      </w:r>
    </w:p>
    <w:p>
      <w:pPr>
        <w:pStyle w:val="ListParagraph"/>
        <w:numPr>
          <w:ilvl w:val="0"/>
          <w:numId w:val="1"/>
        </w:numPr>
        <w:spacing w:after="50"/>
      </w:pPr>
      <w:r>
        <w:rPr>
          <w:rFonts w:ascii="Calibri" w:cs="Calibri" w:eastAsia="Calibri" w:hAnsi="Calibri"/>
          <w:sz w:val="20"/>
          <w:szCs w:val="20"/>
        </w:rPr>
        <w:t xml:space="preserve">Revisión de reportes de operaciones inusuales del periodo (D9-NOT)</w:t>
      </w:r>
    </w:p>
    <w:p>
      <w:pPr>
        <w:pBdr>
          <w:bottom w:val="single" w:color="B08D57" w:sz="6" w:space="2"/>
        </w:pBdr>
        <w:spacing w:after="120" w:before="240"/>
      </w:pPr>
      <w:r>
        <w:rPr>
          <w:rFonts w:ascii="Calibri" w:cs="Calibri" w:eastAsia="Calibri" w:hAnsi="Calibri"/>
          <w:b/>
          <w:bCs/>
          <w:color w:val="1F3864"/>
          <w:sz w:val="23"/>
          <w:szCs w:val="23"/>
        </w:rPr>
        <w:t xml:space="preserve">III. Hallazgos por Módulo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
        <w:gridCol w:w="1750"/>
        <w:gridCol w:w="2600"/>
        <w:gridCol w:w="950"/>
        <w:gridCol w:w="1550"/>
        <w:gridCol w:w="2150"/>
      </w:tblGrid>
      <w:tr>
        <w:trPr>
          <w:tblHeader/>
        </w:trPr>
        <w:tc>
          <w:tcPr>
            <w:tcW w:type="dxa" w:w="3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No.</w:t>
            </w:r>
          </w:p>
        </w:tc>
        <w:tc>
          <w:tcPr>
            <w:tcW w:type="dxa" w:w="17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Módulo evaluado</w:t>
            </w:r>
          </w:p>
        </w:tc>
        <w:tc>
          <w:tcPr>
            <w:tcW w:type="dxa" w:w="26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Hallazgo / Observación</w:t>
            </w:r>
          </w:p>
        </w:tc>
        <w:tc>
          <w:tcPr>
            <w:tcW w:type="dxa" w:w="9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Semáforo</w:t>
            </w:r>
          </w:p>
        </w:tc>
        <w:tc>
          <w:tcPr>
            <w:tcW w:type="dxa" w:w="15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Riesgo</w:t>
            </w:r>
          </w:p>
        </w:tc>
        <w:tc>
          <w:tcPr>
            <w:tcW w:type="dxa" w:w="21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Acción correctiva</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w:t>
            </w:r>
          </w:p>
        </w:tc>
        <w:tc>
          <w:tcPr>
            <w:tcW w:type="dxa" w:w="17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Registro personal SAT (SPPLD)</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2</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Constancia de Asunción Personal (D2-NOT)</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3</w:t>
            </w:r>
          </w:p>
        </w:tc>
        <w:tc>
          <w:tcPr>
            <w:tcW w:type="dxa" w:w="17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Expedientes KYC (D7-NOT)</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4</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Evaluaciones EBR (D6-NOT)</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5</w:t>
            </w:r>
          </w:p>
        </w:tc>
        <w:tc>
          <w:tcPr>
            <w:tcW w:type="dxa" w:w="17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Política de PEP's y Beneficiario Controlador (D8-NOT)</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6</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Avisos SIEMPRE obligatorios (incisos b, c, e)</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7</w:t>
            </w:r>
          </w:p>
        </w:tc>
        <w:tc>
          <w:tcPr>
            <w:tcW w:type="dxa" w:w="17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Avisos con umbral (incisos a, d)</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8</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Reportes de operaciones inusuales (D9-NOT)</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9</w:t>
            </w:r>
          </w:p>
        </w:tc>
        <w:tc>
          <w:tcPr>
            <w:tcW w:type="dxa" w:w="17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Resguardo documental (D10-NOT)</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10</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Programa de capacitación (D11)</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11</w:t>
            </w:r>
          </w:p>
        </w:tc>
        <w:tc>
          <w:tcPr>
            <w:tcW w:type="dxa" w:w="17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Restricción de efectivo (Art. 32-33)</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12</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Manual de Cumplimiento (D5-NOT)</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bl>
    <w:p>
      <w:pPr>
        <w:pBdr>
          <w:bottom w:val="single" w:color="B08D57" w:sz="6" w:space="2"/>
        </w:pBdr>
        <w:spacing w:after="120" w:before="240"/>
      </w:pPr>
      <w:r>
        <w:rPr>
          <w:rFonts w:ascii="Calibri" w:cs="Calibri" w:eastAsia="Calibri" w:hAnsi="Calibri"/>
          <w:b/>
          <w:bCs/>
          <w:color w:val="1F3864"/>
          <w:sz w:val="23"/>
          <w:szCs w:val="23"/>
        </w:rPr>
        <w:t xml:space="preserve">IV. Resumen Ejecutivo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Total de módulos auditados:</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12</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Módulos en cumplimiento (VERDE):</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Módulos con observaciones (AMARILLO):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Módulos con incumplimiento (ROJO):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Calificación global del programa: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 SATISFACTORIO   [ ] CON OBSERVACIONES   [ ] INSATISFACTORIO</w:t>
            </w:r>
          </w:p>
        </w:tc>
      </w:tr>
    </w:tbl>
    <w:p>
      <w:pPr>
        <w:pBdr>
          <w:bottom w:val="single" w:color="B08D57" w:sz="6" w:space="2"/>
        </w:pBdr>
        <w:spacing w:after="120" w:before="240"/>
      </w:pPr>
      <w:r>
        <w:rPr>
          <w:rFonts w:ascii="Calibri" w:cs="Calibri" w:eastAsia="Calibri" w:hAnsi="Calibri"/>
          <w:b/>
          <w:bCs/>
          <w:color w:val="1F3864"/>
          <w:sz w:val="23"/>
          <w:szCs w:val="23"/>
        </w:rPr>
        <w:t xml:space="preserve">V. Plan de Remediación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600"/>
        <w:gridCol w:w="1500"/>
        <w:gridCol w:w="1400"/>
        <w:gridCol w:w="1250"/>
      </w:tblGrid>
      <w:tr>
        <w:trPr>
          <w:tblHeader/>
        </w:trPr>
        <w:tc>
          <w:tcPr>
            <w:tcW w:type="dxa" w:w="5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No.</w:t>
            </w:r>
          </w:p>
        </w:tc>
        <w:tc>
          <w:tcPr>
            <w:tcW w:type="dxa" w:w="21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Hallazgo</w:t>
            </w:r>
          </w:p>
        </w:tc>
        <w:tc>
          <w:tcPr>
            <w:tcW w:type="dxa" w:w="26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Acción correctiva</w:t>
            </w:r>
          </w:p>
        </w:tc>
        <w:tc>
          <w:tcPr>
            <w:tcW w:type="dxa" w:w="15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Responsable</w:t>
            </w:r>
          </w:p>
        </w:tc>
        <w:tc>
          <w:tcPr>
            <w:tcW w:type="dxa" w:w="14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Fecha compromiso</w:t>
            </w:r>
          </w:p>
        </w:tc>
        <w:tc>
          <w:tcPr>
            <w:tcW w:type="dxa" w:w="12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Estado</w:t>
            </w:r>
          </w:p>
        </w:tc>
      </w:tr>
      <w:tr>
        <w:tc>
          <w:tcPr>
            <w:tcW w:type="dxa" w:w="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w:t>
            </w:r>
          </w:p>
        </w:tc>
        <w:tc>
          <w:tcPr>
            <w:tcW w:type="dxa" w:w="21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[Hallazgo 1]</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c>
          <w:tcPr>
            <w:tcW w:type="dxa" w:w="1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Notario Titular</w:t>
            </w:r>
          </w:p>
        </w:tc>
        <w:tc>
          <w:tcPr>
            <w:tcW w:type="dxa" w:w="14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c>
          <w:tcPr>
            <w:tcW w:type="dxa" w:w="12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 Pend. [ ] Proc. [ ] Cerrado</w:t>
            </w:r>
          </w:p>
        </w:tc>
      </w:tr>
      <w:tr>
        <w:tc>
          <w:tcPr>
            <w:tcW w:type="dxa" w:w="5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2</w:t>
            </w:r>
          </w:p>
        </w:tc>
        <w:tc>
          <w:tcPr>
            <w:tcW w:type="dxa" w:w="21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[Hallazgo 2]</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c>
          <w:tcPr>
            <w:tcW w:type="dxa" w:w="15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Notario Titular</w:t>
            </w:r>
          </w:p>
        </w:tc>
        <w:tc>
          <w:tcPr>
            <w:tcW w:type="dxa" w:w="14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c>
          <w:tcPr>
            <w:tcW w:type="dxa" w:w="12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 Pend. [ ] Proc. [ ] Cerrado</w:t>
            </w:r>
          </w:p>
        </w:tc>
      </w:tr>
      <w:tr>
        <w:tc>
          <w:tcPr>
            <w:tcW w:type="dxa" w:w="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3</w:t>
            </w:r>
          </w:p>
        </w:tc>
        <w:tc>
          <w:tcPr>
            <w:tcW w:type="dxa" w:w="21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[Hallazgo 3]</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c>
          <w:tcPr>
            <w:tcW w:type="dxa" w:w="1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Notario Titular</w:t>
            </w:r>
          </w:p>
        </w:tc>
        <w:tc>
          <w:tcPr>
            <w:tcW w:type="dxa" w:w="14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c>
          <w:tcPr>
            <w:tcW w:type="dxa" w:w="12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 Pend. [ ] Proc. [ ] Cerrado</w:t>
            </w:r>
          </w:p>
        </w:tc>
      </w:tr>
    </w:tbl>
    <w:p>
      <w:pPr>
        <w:pBdr>
          <w:bottom w:val="single" w:color="B08D57" w:sz="6" w:space="2"/>
        </w:pBdr>
        <w:spacing w:after="120" w:before="240"/>
      </w:pPr>
      <w:r>
        <w:rPr>
          <w:rFonts w:ascii="Calibri" w:cs="Calibri" w:eastAsia="Calibri" w:hAnsi="Calibri"/>
          <w:b/>
          <w:bCs/>
          <w:color w:val="1F3864"/>
          <w:sz w:val="23"/>
          <w:szCs w:val="23"/>
        </w:rPr>
        <w:t xml:space="preserve">VI. Conclusión</w:t>
      </w:r>
    </w:p>
    <w:p>
      <w:pPr>
        <w:spacing w:after="110"/>
      </w:pPr>
      <w:r>
        <w:rPr>
          <w:rFonts w:ascii="Calibri" w:cs="Calibri" w:eastAsia="Calibri" w:hAnsi="Calibri"/>
          <w:sz w:val="20"/>
          <w:szCs w:val="20"/>
        </w:rPr>
        <w:t xml:space="preserve">[Redactar la conclusión general del estado del Programa Certus PLD al cierre del periodo auditado, incluyendo una opinión sobre la efectividad del programa y las recomendaciones prioritarias para el siguiente ciclo, considerando que la responsabilidad de implementar las recomendaciones recae personalmente en el Notario Titular.]</w:t>
      </w:r>
    </w:p>
    <w:p>
      <w:pPr>
        <w:pBdr>
          <w:bottom w:val="single" w:color="B08D57" w:sz="6" w:space="2"/>
        </w:pBdr>
        <w:spacing w:after="120" w:before="240"/>
      </w:pPr>
      <w:r>
        <w:rPr>
          <w:rFonts w:ascii="Calibri" w:cs="Calibri" w:eastAsia="Calibri" w:hAnsi="Calibri"/>
          <w:b/>
          <w:bCs/>
          <w:color w:val="1F3864"/>
          <w:sz w:val="23"/>
          <w:szCs w:val="23"/>
        </w:rPr>
        <w:t xml:space="preserve">VII. Firmas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Notario Titular (responsable personal — recibió y tomó nota):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Encargado Operativo (elaboró, en su caso — D2-NOT):</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Certus Consultores (auditor externo):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contacto@certusconsultores.com.mx │ 999 163 1363</w:t>
            </w:r>
          </w:p>
        </w:tc>
      </w:tr>
    </w:tbl>
    <w:p>
      <w:pPr>
        <w:spacing w:after="110"/>
      </w:pPr>
      <w:r>
        <w:rPr>
          <w:rFonts w:ascii="Calibri" w:cs="Calibri" w:eastAsia="Calibri" w:hAnsi="Calibri"/>
          <w:i/>
          <w:iCs/>
          <w:sz w:val="20"/>
          <w:szCs w:val="20"/>
        </w:rPr>
        <w:t xml:space="preserve">Próxima auditoría programada: [FECHA]</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2026-09-09T14:48:47.374Z</dcterms:created>
  <dcterms:modified xsi:type="dcterms:W3CDTF">2026-09-09T14:48:47.375Z</dcterms:modified>
</cp:coreProperties>
</file>

<file path=docProps/custom.xml><?xml version="1.0" encoding="utf-8"?>
<Properties xmlns="http://schemas.openxmlformats.org/officeDocument/2006/custom-properties" xmlns:vt="http://schemas.openxmlformats.org/officeDocument/2006/docPropsVTypes"/>
</file>