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F3864" w:val="clear"/>
            <w:tcMar>
              <w:top w:type="dxa" w:w="140"/>
              <w:left w:type="dxa" w:w="160"/>
              <w:bottom w:type="dxa" w:w="140"/>
              <w:right w:type="dxa" w:w="160"/>
            </w:tcMar>
          </w:tcPr>
          <w:p>
            <w:r>
              <w:rPr>
                <w:rFonts w:ascii="Calibri" w:cs="Calibri" w:eastAsia="Calibri" w:hAnsi="Calibri"/>
                <w:b/>
                <w:bCs/>
                <w:color w:val="FFFFFF"/>
                <w:sz w:val="22"/>
                <w:szCs w:val="22"/>
              </w:rPr>
              <w:t xml:space="preserve">CERTUS PLD</w:t>
            </w:r>
            <w:r>
              <w:rPr>
                <w:rFonts w:ascii="Calibri" w:cs="Calibri" w:eastAsia="Calibri" w:hAnsi="Calibri"/>
                <w:color w:val="B08D57"/>
                <w:sz w:val="22"/>
                <w:szCs w:val="22"/>
              </w:rPr>
              <w:t xml:space="preserve">   |   </w:t>
            </w:r>
            <w:r>
              <w:rPr>
                <w:rFonts w:ascii="Calibri" w:cs="Calibri" w:eastAsia="Calibri" w:hAnsi="Calibri"/>
                <w:b/>
                <w:bCs/>
                <w:color w:val="B08D57"/>
                <w:sz w:val="22"/>
                <w:szCs w:val="22"/>
              </w:rPr>
              <w:t xml:space="preserve">D4-NOT </w:t>
            </w:r>
            <w:r>
              <w:rPr>
                <w:rFonts w:ascii="Calibri" w:cs="Calibri" w:eastAsia="Calibri" w:hAnsi="Calibri"/>
                <w:b/>
                <w:bCs/>
                <w:color w:val="FFFFFF"/>
                <w:sz w:val="22"/>
                <w:szCs w:val="22"/>
              </w:rPr>
              <w:t xml:space="preserve">Gap Analysis PLD/FT — Matriz de Brecha (Notarías)</w:t>
            </w:r>
          </w:p>
          <w:p>
            <w:pPr>
              <w:spacing w:before="40"/>
            </w:pPr>
            <w:r>
              <w:rPr>
                <w:rFonts w:ascii="Calibri" w:cs="Calibri" w:eastAsia="Calibri" w:hAnsi="Calibri"/>
                <w:color w:val="D9D9D9"/>
                <w:sz w:val="18"/>
                <w:szCs w:val="18"/>
              </w:rPr>
              <w:t xml:space="preserve">Notaría: [Denominación de la Notaría]   │   Variante: Fe Pública — Fracción XII LFPIORPI</w:t>
            </w:r>
          </w:p>
        </w:tc>
      </w:tr>
    </w:tbl>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c>
          <w:tcPr>
            <w:tcW w:type="dxa" w:w="3200"/>
            <w:shd w:fill="EDEDED" w:val="clear"/>
            <w:tcMar>
              <w:top w:type="dxa" w:w="60"/>
              <w:left w:type="dxa" w:w="80"/>
              <w:bottom w:type="dxa" w:w="60"/>
              <w:right w:type="dxa" w:w="80"/>
            </w:tcMar>
            <w:vAlign w:val="center"/>
          </w:tcPr>
          <w:p>
            <w:r>
              <w:rPr>
                <w:rFonts w:ascii="Calibri" w:cs="Calibri" w:eastAsia="Calibri" w:hAnsi="Calibri"/>
                <w:b/>
                <w:bCs/>
                <w:sz w:val="17"/>
                <w:szCs w:val="17"/>
              </w:rPr>
              <w:t xml:space="preserve">Notaría:</w:t>
            </w:r>
          </w:p>
        </w:tc>
        <w:tc>
          <w:tcPr>
            <w:tcW w:type="dxa" w:w="6150"/>
            <w:tcMar>
              <w:top w:type="dxa" w:w="60"/>
              <w:left w:type="dxa" w:w="80"/>
              <w:bottom w:type="dxa" w:w="60"/>
              <w:right w:type="dxa" w:w="80"/>
            </w:tcMar>
            <w:vAlign w:val="center"/>
          </w:tcPr>
          <w:p>
            <w:r>
              <w:rPr>
                <w:rFonts w:ascii="Calibri" w:cs="Calibri" w:eastAsia="Calibri" w:hAnsi="Calibri"/>
                <w:b w:val="false"/>
                <w:bCs w:val="false"/>
                <w:sz w:val="17"/>
                <w:szCs w:val="17"/>
              </w:rPr>
              <w:t xml:space="preserve">[Denominación completa]</w:t>
            </w:r>
          </w:p>
        </w:tc>
      </w:tr>
      <w:tr>
        <w:tc>
          <w:tcPr>
            <w:tcW w:type="dxa" w:w="3200"/>
            <w:shd w:fill="EDEDED" w:val="clear"/>
            <w:tcMar>
              <w:top w:type="dxa" w:w="60"/>
              <w:left w:type="dxa" w:w="80"/>
              <w:bottom w:type="dxa" w:w="60"/>
              <w:right w:type="dxa" w:w="80"/>
            </w:tcMar>
            <w:vAlign w:val="center"/>
          </w:tcPr>
          <w:p>
            <w:r>
              <w:rPr>
                <w:rFonts w:ascii="Calibri" w:cs="Calibri" w:eastAsia="Calibri" w:hAnsi="Calibri"/>
                <w:b/>
                <w:bCs/>
                <w:sz w:val="17"/>
                <w:szCs w:val="17"/>
              </w:rPr>
              <w:t xml:space="preserve">Fecha de diagnóstico:</w:t>
            </w:r>
          </w:p>
        </w:tc>
        <w:tc>
          <w:tcPr>
            <w:tcW w:type="dxa" w:w="6150"/>
            <w:tcMar>
              <w:top w:type="dxa" w:w="60"/>
              <w:left w:type="dxa" w:w="80"/>
              <w:bottom w:type="dxa" w:w="60"/>
              <w:right w:type="dxa" w:w="80"/>
            </w:tcMar>
            <w:vAlign w:val="center"/>
          </w:tcPr>
          <w:p>
            <w:r>
              <w:rPr>
                <w:rFonts w:ascii="Calibri" w:cs="Calibri" w:eastAsia="Calibri" w:hAnsi="Calibri"/>
                <w:b w:val="false"/>
                <w:bCs w:val="false"/>
                <w:sz w:val="17"/>
                <w:szCs w:val="17"/>
              </w:rPr>
              <w:t xml:space="preserve">[Fecha]</w:t>
            </w:r>
          </w:p>
        </w:tc>
      </w:tr>
      <w:tr>
        <w:tc>
          <w:tcPr>
            <w:tcW w:type="dxa" w:w="3200"/>
            <w:shd w:fill="EDEDED" w:val="clear"/>
            <w:tcMar>
              <w:top w:type="dxa" w:w="60"/>
              <w:left w:type="dxa" w:w="80"/>
              <w:bottom w:type="dxa" w:w="60"/>
              <w:right w:type="dxa" w:w="80"/>
            </w:tcMar>
            <w:vAlign w:val="center"/>
          </w:tcPr>
          <w:p>
            <w:r>
              <w:rPr>
                <w:rFonts w:ascii="Calibri" w:cs="Calibri" w:eastAsia="Calibri" w:hAnsi="Calibri"/>
                <w:b/>
                <w:bCs/>
                <w:sz w:val="17"/>
                <w:szCs w:val="17"/>
              </w:rPr>
              <w:t xml:space="preserve">Evaluador:</w:t>
            </w:r>
          </w:p>
        </w:tc>
        <w:tc>
          <w:tcPr>
            <w:tcW w:type="dxa" w:w="6150"/>
            <w:tcMar>
              <w:top w:type="dxa" w:w="60"/>
              <w:left w:type="dxa" w:w="80"/>
              <w:bottom w:type="dxa" w:w="60"/>
              <w:right w:type="dxa" w:w="80"/>
            </w:tcMar>
            <w:vAlign w:val="center"/>
          </w:tcPr>
          <w:p>
            <w:r>
              <w:rPr>
                <w:rFonts w:ascii="Calibri" w:cs="Calibri" w:eastAsia="Calibri" w:hAnsi="Calibri"/>
                <w:b w:val="false"/>
                <w:bCs w:val="false"/>
                <w:sz w:val="17"/>
                <w:szCs w:val="17"/>
              </w:rPr>
              <w:t xml:space="preserve">CERTUS CONSULTORES │ Certus PLD</w:t>
            </w:r>
          </w:p>
        </w:tc>
      </w:tr>
      <w:tr>
        <w:tc>
          <w:tcPr>
            <w:tcW w:type="dxa" w:w="3200"/>
            <w:shd w:fill="EDEDED" w:val="clear"/>
            <w:tcMar>
              <w:top w:type="dxa" w:w="60"/>
              <w:left w:type="dxa" w:w="80"/>
              <w:bottom w:type="dxa" w:w="60"/>
              <w:right w:type="dxa" w:w="80"/>
            </w:tcMar>
            <w:vAlign w:val="center"/>
          </w:tcPr>
          <w:p>
            <w:r>
              <w:rPr>
                <w:rFonts w:ascii="Calibri" w:cs="Calibri" w:eastAsia="Calibri" w:hAnsi="Calibri"/>
                <w:b/>
                <w:bCs/>
                <w:sz w:val="17"/>
                <w:szCs w:val="17"/>
              </w:rPr>
              <w:t xml:space="preserve">Correo:</w:t>
            </w:r>
          </w:p>
        </w:tc>
        <w:tc>
          <w:tcPr>
            <w:tcW w:type="dxa" w:w="6150"/>
            <w:tcMar>
              <w:top w:type="dxa" w:w="60"/>
              <w:left w:type="dxa" w:w="80"/>
              <w:bottom w:type="dxa" w:w="60"/>
              <w:right w:type="dxa" w:w="80"/>
            </w:tcMar>
            <w:vAlign w:val="center"/>
          </w:tcPr>
          <w:p>
            <w:r>
              <w:rPr>
                <w:rFonts w:ascii="Calibri" w:cs="Calibri" w:eastAsia="Calibri" w:hAnsi="Calibri"/>
                <w:b w:val="false"/>
                <w:bCs w:val="false"/>
                <w:sz w:val="17"/>
                <w:szCs w:val="17"/>
              </w:rPr>
              <w:t xml:space="preserve">contacto@certusconsultores.com.mx │ Tel. 999 163 1363</w:t>
            </w:r>
          </w:p>
        </w:tc>
      </w:tr>
      <w:tr>
        <w:tc>
          <w:tcPr>
            <w:tcW w:type="dxa" w:w="3200"/>
            <w:shd w:fill="EDEDED" w:val="clear"/>
            <w:tcMar>
              <w:top w:type="dxa" w:w="60"/>
              <w:left w:type="dxa" w:w="80"/>
              <w:bottom w:type="dxa" w:w="60"/>
              <w:right w:type="dxa" w:w="80"/>
            </w:tcMar>
            <w:vAlign w:val="center"/>
          </w:tcPr>
          <w:p>
            <w:r>
              <w:rPr>
                <w:rFonts w:ascii="Calibri" w:cs="Calibri" w:eastAsia="Calibri" w:hAnsi="Calibri"/>
                <w:b/>
                <w:bCs/>
                <w:sz w:val="17"/>
                <w:szCs w:val="17"/>
              </w:rPr>
              <w:t xml:space="preserve">Versión:</w:t>
            </w:r>
          </w:p>
        </w:tc>
        <w:tc>
          <w:tcPr>
            <w:tcW w:type="dxa" w:w="6150"/>
            <w:tcMar>
              <w:top w:type="dxa" w:w="60"/>
              <w:left w:type="dxa" w:w="80"/>
              <w:bottom w:type="dxa" w:w="60"/>
              <w:right w:type="dxa" w:w="80"/>
            </w:tcMar>
            <w:vAlign w:val="center"/>
          </w:tcPr>
          <w:p>
            <w:r>
              <w:rPr>
                <w:rFonts w:ascii="Calibri" w:cs="Calibri" w:eastAsia="Calibri" w:hAnsi="Calibri"/>
                <w:b w:val="false"/>
                <w:bCs w:val="false"/>
                <w:sz w:val="17"/>
                <w:szCs w:val="17"/>
              </w:rPr>
              <w:t xml:space="preserve">1.0 — Diagnóstico inicial</w:t>
            </w:r>
          </w:p>
        </w:tc>
      </w:tr>
    </w:tbl>
    <w:p/>
    <w:p>
      <w:pPr>
        <w:pBdr>
          <w:bottom w:val="single" w:color="B08D57" w:sz="6" w:space="2"/>
        </w:pBdr>
        <w:spacing w:after="120" w:before="240"/>
      </w:pPr>
      <w:r>
        <w:rPr>
          <w:rFonts w:ascii="Calibri" w:cs="Calibri" w:eastAsia="Calibri" w:hAnsi="Calibri"/>
          <w:b/>
          <w:bCs/>
          <w:color w:val="1F3864"/>
          <w:sz w:val="23"/>
          <w:szCs w:val="23"/>
        </w:rPr>
        <w:t xml:space="preserve">I. Instrucciones de uso</w:t>
      </w:r>
    </w:p>
    <w:p>
      <w:pPr>
        <w:spacing w:after="110"/>
      </w:pPr>
      <w:r>
        <w:rPr>
          <w:rFonts w:ascii="Calibri" w:cs="Calibri" w:eastAsia="Calibri" w:hAnsi="Calibri"/>
          <w:sz w:val="20"/>
          <w:szCs w:val="20"/>
        </w:rPr>
        <w:t xml:space="preserve">Esta matriz evalúa 14 rubros de cumplimiento PLD/FT aplicables a notarías bajo la Fracción XII, Apartado A del artículo 17. Para cada rubro se indica: el estatus actual (Cumple / Parcial / No Cumple), el nivel de riesgo (VERDE / AMARILLO / ROJO), la multa máxima estimada y las acciones correctivas recomendadas. Marcar con X el estatus correspondiente.</w:t>
      </w:r>
    </w:p>
    <w:p>
      <w:pPr>
        <w:pBdr>
          <w:bottom w:val="single" w:color="B08D57" w:sz="6" w:space="2"/>
        </w:pBdr>
        <w:spacing w:after="120" w:before="240"/>
      </w:pPr>
      <w:r>
        <w:rPr>
          <w:rFonts w:ascii="Calibri" w:cs="Calibri" w:eastAsia="Calibri" w:hAnsi="Calibri"/>
          <w:b/>
          <w:bCs/>
          <w:color w:val="1F3864"/>
          <w:sz w:val="23"/>
          <w:szCs w:val="23"/>
        </w:rPr>
        <w:t xml:space="preserve">II. Matriz de brecha — 14 rubros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20"/>
        <w:gridCol w:w="2600"/>
        <w:gridCol w:w="1400"/>
        <w:gridCol w:w="1500"/>
        <w:gridCol w:w="1430"/>
        <w:gridCol w:w="2000"/>
      </w:tblGrid>
      <w:tr>
        <w:trPr>
          <w:tblHeader/>
        </w:trPr>
        <w:tc>
          <w:tcPr>
            <w:tcW w:type="dxa" w:w="420"/>
            <w:shd w:fill="1F3864" w:val="clear"/>
            <w:tcMar>
              <w:top w:type="dxa" w:w="60"/>
              <w:left w:type="dxa" w:w="80"/>
              <w:bottom w:type="dxa" w:w="60"/>
              <w:right w:type="dxa" w:w="80"/>
            </w:tcMar>
            <w:vAlign w:val="center"/>
          </w:tcPr>
          <w:p>
            <w:r>
              <w:rPr>
                <w:rFonts w:ascii="Calibri" w:cs="Calibri" w:eastAsia="Calibri" w:hAnsi="Calibri"/>
                <w:b/>
                <w:bCs/>
                <w:color w:val="FFFFFF"/>
                <w:sz w:val="17"/>
                <w:szCs w:val="17"/>
              </w:rPr>
              <w:t xml:space="preserve">No.</w:t>
            </w:r>
          </w:p>
        </w:tc>
        <w:tc>
          <w:tcPr>
            <w:tcW w:type="dxa" w:w="2600"/>
            <w:shd w:fill="1F3864" w:val="clear"/>
            <w:tcMar>
              <w:top w:type="dxa" w:w="60"/>
              <w:left w:type="dxa" w:w="80"/>
              <w:bottom w:type="dxa" w:w="60"/>
              <w:right w:type="dxa" w:w="80"/>
            </w:tcMar>
            <w:vAlign w:val="center"/>
          </w:tcPr>
          <w:p>
            <w:r>
              <w:rPr>
                <w:rFonts w:ascii="Calibri" w:cs="Calibri" w:eastAsia="Calibri" w:hAnsi="Calibri"/>
                <w:b/>
                <w:bCs/>
                <w:color w:val="FFFFFF"/>
                <w:sz w:val="17"/>
                <w:szCs w:val="17"/>
              </w:rPr>
              <w:t xml:space="preserve">Rubro de Cumplimiento</w:t>
            </w:r>
          </w:p>
        </w:tc>
        <w:tc>
          <w:tcPr>
            <w:tcW w:type="dxa" w:w="1400"/>
            <w:shd w:fill="1F3864" w:val="clear"/>
            <w:tcMar>
              <w:top w:type="dxa" w:w="60"/>
              <w:left w:type="dxa" w:w="80"/>
              <w:bottom w:type="dxa" w:w="60"/>
              <w:right w:type="dxa" w:w="80"/>
            </w:tcMar>
            <w:vAlign w:val="center"/>
          </w:tcPr>
          <w:p>
            <w:r>
              <w:rPr>
                <w:rFonts w:ascii="Calibri" w:cs="Calibri" w:eastAsia="Calibri" w:hAnsi="Calibri"/>
                <w:b/>
                <w:bCs/>
                <w:color w:val="FFFFFF"/>
                <w:sz w:val="17"/>
                <w:szCs w:val="17"/>
              </w:rPr>
              <w:t xml:space="preserve">Ref. Legal</w:t>
            </w:r>
          </w:p>
        </w:tc>
        <w:tc>
          <w:tcPr>
            <w:tcW w:type="dxa" w:w="1500"/>
            <w:shd w:fill="1F3864" w:val="clear"/>
            <w:tcMar>
              <w:top w:type="dxa" w:w="60"/>
              <w:left w:type="dxa" w:w="80"/>
              <w:bottom w:type="dxa" w:w="60"/>
              <w:right w:type="dxa" w:w="80"/>
            </w:tcMar>
            <w:vAlign w:val="center"/>
          </w:tcPr>
          <w:p>
            <w:r>
              <w:rPr>
                <w:rFonts w:ascii="Calibri" w:cs="Calibri" w:eastAsia="Calibri" w:hAnsi="Calibri"/>
                <w:b/>
                <w:bCs/>
                <w:color w:val="FFFFFF"/>
                <w:sz w:val="17"/>
                <w:szCs w:val="17"/>
              </w:rPr>
              <w:t xml:space="preserve">Estatus</w:t>
            </w:r>
          </w:p>
        </w:tc>
        <w:tc>
          <w:tcPr>
            <w:tcW w:type="dxa" w:w="1430"/>
            <w:shd w:fill="1F3864" w:val="clear"/>
            <w:tcMar>
              <w:top w:type="dxa" w:w="60"/>
              <w:left w:type="dxa" w:w="80"/>
              <w:bottom w:type="dxa" w:w="60"/>
              <w:right w:type="dxa" w:w="80"/>
            </w:tcMar>
            <w:vAlign w:val="center"/>
          </w:tcPr>
          <w:p>
            <w:r>
              <w:rPr>
                <w:rFonts w:ascii="Calibri" w:cs="Calibri" w:eastAsia="Calibri" w:hAnsi="Calibri"/>
                <w:b/>
                <w:bCs/>
                <w:color w:val="FFFFFF"/>
                <w:sz w:val="17"/>
                <w:szCs w:val="17"/>
              </w:rPr>
              <w:t xml:space="preserve">Semáf.</w:t>
            </w:r>
          </w:p>
        </w:tc>
        <w:tc>
          <w:tcPr>
            <w:tcW w:type="dxa" w:w="2000"/>
            <w:shd w:fill="1F3864" w:val="clear"/>
            <w:tcMar>
              <w:top w:type="dxa" w:w="60"/>
              <w:left w:type="dxa" w:w="80"/>
              <w:bottom w:type="dxa" w:w="60"/>
              <w:right w:type="dxa" w:w="80"/>
            </w:tcMar>
            <w:vAlign w:val="center"/>
          </w:tcPr>
          <w:p>
            <w:r>
              <w:rPr>
                <w:rFonts w:ascii="Calibri" w:cs="Calibri" w:eastAsia="Calibri" w:hAnsi="Calibri"/>
                <w:b/>
                <w:bCs/>
                <w:color w:val="FFFFFF"/>
                <w:sz w:val="17"/>
                <w:szCs w:val="17"/>
              </w:rPr>
              <w:t xml:space="preserve">Multa Est.</w:t>
            </w:r>
          </w:p>
        </w:tc>
      </w:tr>
      <w:tr>
        <w:tc>
          <w:tcPr>
            <w:tcW w:type="dxa" w:w="42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1</w:t>
            </w:r>
          </w:p>
        </w:tc>
        <w:tc>
          <w:tcPr>
            <w:tcW w:type="dxa" w:w="26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Registro personal ante el SAT (SPPLD) — D3-NOT</w:t>
            </w:r>
          </w:p>
        </w:tc>
        <w:tc>
          <w:tcPr>
            <w:tcW w:type="dxa" w:w="14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Art. 17 / 18-IV Bis</w:t>
            </w:r>
          </w:p>
        </w:tc>
        <w:tc>
          <w:tcPr>
            <w:tcW w:type="dxa" w:w="15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 C  [ ] P  [ ] N</w:t>
            </w:r>
          </w:p>
        </w:tc>
        <w:tc>
          <w:tcPr>
            <w:tcW w:type="dxa" w:w="143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]V [ ]A [ ]R</w:t>
            </w:r>
          </w:p>
        </w:tc>
        <w:tc>
          <w:tcPr>
            <w:tcW w:type="dxa" w:w="20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$234,620</w:t>
            </w:r>
          </w:p>
        </w:tc>
      </w:tr>
      <w:tr>
        <w:tc>
          <w:tcPr>
            <w:tcW w:type="dxa" w:w="42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2</w:t>
            </w:r>
          </w:p>
        </w:tc>
        <w:tc>
          <w:tcPr>
            <w:tcW w:type="dxa" w:w="26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Constancia de Asunción Personal de obligaciones — D2-NOT</w:t>
            </w:r>
          </w:p>
        </w:tc>
        <w:tc>
          <w:tcPr>
            <w:tcW w:type="dxa" w:w="14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Art. 20</w:t>
            </w:r>
          </w:p>
        </w:tc>
        <w:tc>
          <w:tcPr>
            <w:tcW w:type="dxa" w:w="15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 C  [ ] P  [ ] N</w:t>
            </w:r>
          </w:p>
        </w:tc>
        <w:tc>
          <w:tcPr>
            <w:tcW w:type="dxa" w:w="143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]V [ ]A [ ]R</w:t>
            </w:r>
          </w:p>
        </w:tc>
        <w:tc>
          <w:tcPr>
            <w:tcW w:type="dxa" w:w="20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Base para todo lo demás</w:t>
            </w:r>
          </w:p>
        </w:tc>
      </w:tr>
      <w:tr>
        <w:tc>
          <w:tcPr>
            <w:tcW w:type="dxa" w:w="42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3</w:t>
            </w:r>
          </w:p>
        </w:tc>
        <w:tc>
          <w:tcPr>
            <w:tcW w:type="dxa" w:w="26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Manual de Cumplimiento PLD/FT — D5-NOT</w:t>
            </w:r>
          </w:p>
        </w:tc>
        <w:tc>
          <w:tcPr>
            <w:tcW w:type="dxa" w:w="14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Art. 18-VIII</w:t>
            </w:r>
          </w:p>
        </w:tc>
        <w:tc>
          <w:tcPr>
            <w:tcW w:type="dxa" w:w="15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 C  [ ] P  [ ] N</w:t>
            </w:r>
          </w:p>
        </w:tc>
        <w:tc>
          <w:tcPr>
            <w:tcW w:type="dxa" w:w="143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]V [ ]A [ ]R</w:t>
            </w:r>
          </w:p>
        </w:tc>
        <w:tc>
          <w:tcPr>
            <w:tcW w:type="dxa" w:w="20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$234,620</w:t>
            </w:r>
          </w:p>
        </w:tc>
      </w:tr>
      <w:tr>
        <w:tc>
          <w:tcPr>
            <w:tcW w:type="dxa" w:w="42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4</w:t>
            </w:r>
          </w:p>
        </w:tc>
        <w:tc>
          <w:tcPr>
            <w:tcW w:type="dxa" w:w="26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Expedientes KYC de clientes por acto — D7-NOT</w:t>
            </w:r>
          </w:p>
        </w:tc>
        <w:tc>
          <w:tcPr>
            <w:tcW w:type="dxa" w:w="14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Art. 18-I a III</w:t>
            </w:r>
          </w:p>
        </w:tc>
        <w:tc>
          <w:tcPr>
            <w:tcW w:type="dxa" w:w="15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 C  [ ] P  [ ] N</w:t>
            </w:r>
          </w:p>
        </w:tc>
        <w:tc>
          <w:tcPr>
            <w:tcW w:type="dxa" w:w="143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]V [ ]A [ ]R</w:t>
            </w:r>
          </w:p>
        </w:tc>
        <w:tc>
          <w:tcPr>
            <w:tcW w:type="dxa" w:w="20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$234,620</w:t>
            </w:r>
          </w:p>
        </w:tc>
      </w:tr>
      <w:tr>
        <w:tc>
          <w:tcPr>
            <w:tcW w:type="dxa" w:w="42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5</w:t>
            </w:r>
          </w:p>
        </w:tc>
        <w:tc>
          <w:tcPr>
            <w:tcW w:type="dxa" w:w="26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Metodología EBR implementada — D6-NOT</w:t>
            </w:r>
          </w:p>
        </w:tc>
        <w:tc>
          <w:tcPr>
            <w:tcW w:type="dxa" w:w="14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Art. 18-VII</w:t>
            </w:r>
          </w:p>
        </w:tc>
        <w:tc>
          <w:tcPr>
            <w:tcW w:type="dxa" w:w="15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 C  [ ] P  [ ] N</w:t>
            </w:r>
          </w:p>
        </w:tc>
        <w:tc>
          <w:tcPr>
            <w:tcW w:type="dxa" w:w="143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]V [ ]A [ ]R</w:t>
            </w:r>
          </w:p>
        </w:tc>
        <w:tc>
          <w:tcPr>
            <w:tcW w:type="dxa" w:w="20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$234,620</w:t>
            </w:r>
          </w:p>
        </w:tc>
      </w:tr>
      <w:tr>
        <w:tc>
          <w:tcPr>
            <w:tcW w:type="dxa" w:w="42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6</w:t>
            </w:r>
          </w:p>
        </w:tc>
        <w:tc>
          <w:tcPr>
            <w:tcW w:type="dxa" w:w="26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Identificación reforzada de Beneficiario Controlador</w:t>
            </w:r>
          </w:p>
        </w:tc>
        <w:tc>
          <w:tcPr>
            <w:tcW w:type="dxa" w:w="14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Art. 18-III / D7-NOT Secc. E</w:t>
            </w:r>
          </w:p>
        </w:tc>
        <w:tc>
          <w:tcPr>
            <w:tcW w:type="dxa" w:w="15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 C  [ ] P  [ ] N</w:t>
            </w:r>
          </w:p>
        </w:tc>
        <w:tc>
          <w:tcPr>
            <w:tcW w:type="dxa" w:w="143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]V [ ]A [ ]R</w:t>
            </w:r>
          </w:p>
        </w:tc>
        <w:tc>
          <w:tcPr>
            <w:tcW w:type="dxa" w:w="20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$234,620</w:t>
            </w:r>
          </w:p>
        </w:tc>
      </w:tr>
      <w:tr>
        <w:tc>
          <w:tcPr>
            <w:tcW w:type="dxa" w:w="42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7</w:t>
            </w:r>
          </w:p>
        </w:tc>
        <w:tc>
          <w:tcPr>
            <w:tcW w:type="dxa" w:w="26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Política de PEP's documentada — D8</w:t>
            </w:r>
          </w:p>
        </w:tc>
        <w:tc>
          <w:tcPr>
            <w:tcW w:type="dxa" w:w="14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Art. 18-VIII</w:t>
            </w:r>
          </w:p>
        </w:tc>
        <w:tc>
          <w:tcPr>
            <w:tcW w:type="dxa" w:w="15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 C  [ ] P  [ ] N</w:t>
            </w:r>
          </w:p>
        </w:tc>
        <w:tc>
          <w:tcPr>
            <w:tcW w:type="dxa" w:w="143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]V [ ]A [ ]R</w:t>
            </w:r>
          </w:p>
        </w:tc>
        <w:tc>
          <w:tcPr>
            <w:tcW w:type="dxa" w:w="20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$234,620</w:t>
            </w:r>
          </w:p>
        </w:tc>
      </w:tr>
      <w:tr>
        <w:tc>
          <w:tcPr>
            <w:tcW w:type="dxa" w:w="42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8</w:t>
            </w:r>
          </w:p>
        </w:tc>
        <w:tc>
          <w:tcPr>
            <w:tcW w:type="dxa" w:w="26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Avisos SIEMPRE obligatorios presentados (incisos b, c, e)</w:t>
            </w:r>
          </w:p>
        </w:tc>
        <w:tc>
          <w:tcPr>
            <w:tcW w:type="dxa" w:w="14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Art. 17 Fracc. XII</w:t>
            </w:r>
          </w:p>
        </w:tc>
        <w:tc>
          <w:tcPr>
            <w:tcW w:type="dxa" w:w="15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 C  [ ] P  [ ] N</w:t>
            </w:r>
          </w:p>
        </w:tc>
        <w:tc>
          <w:tcPr>
            <w:tcW w:type="dxa" w:w="143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]V [ ]A [ ]R</w:t>
            </w:r>
          </w:p>
        </w:tc>
        <w:tc>
          <w:tcPr>
            <w:tcW w:type="dxa" w:w="20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$7,624,150 o 10%–100% del valor del acto</w:t>
            </w:r>
          </w:p>
        </w:tc>
      </w:tr>
      <w:tr>
        <w:tc>
          <w:tcPr>
            <w:tcW w:type="dxa" w:w="42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9</w:t>
            </w:r>
          </w:p>
        </w:tc>
        <w:tc>
          <w:tcPr>
            <w:tcW w:type="dxa" w:w="26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Control mensual de avisos y actos — D12-NOT</w:t>
            </w:r>
          </w:p>
        </w:tc>
        <w:tc>
          <w:tcPr>
            <w:tcW w:type="dxa" w:w="14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Art. 23</w:t>
            </w:r>
          </w:p>
        </w:tc>
        <w:tc>
          <w:tcPr>
            <w:tcW w:type="dxa" w:w="15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 C  [ ] P  [ ] N</w:t>
            </w:r>
          </w:p>
        </w:tc>
        <w:tc>
          <w:tcPr>
            <w:tcW w:type="dxa" w:w="143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]V [ ]A [ ]R</w:t>
            </w:r>
          </w:p>
        </w:tc>
        <w:tc>
          <w:tcPr>
            <w:tcW w:type="dxa" w:w="20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$7,624,150</w:t>
            </w:r>
          </w:p>
        </w:tc>
      </w:tr>
      <w:tr>
        <w:tc>
          <w:tcPr>
            <w:tcW w:type="dxa" w:w="42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10</w:t>
            </w:r>
          </w:p>
        </w:tc>
        <w:tc>
          <w:tcPr>
            <w:tcW w:type="dxa" w:w="26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Programa anual de capacitación — D11</w:t>
            </w:r>
          </w:p>
        </w:tc>
        <w:tc>
          <w:tcPr>
            <w:tcW w:type="dxa" w:w="14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Art. 18-IX</w:t>
            </w:r>
          </w:p>
        </w:tc>
        <w:tc>
          <w:tcPr>
            <w:tcW w:type="dxa" w:w="15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 C  [ ] P  [ ] N</w:t>
            </w:r>
          </w:p>
        </w:tc>
        <w:tc>
          <w:tcPr>
            <w:tcW w:type="dxa" w:w="143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]V [ ]A [ ]R</w:t>
            </w:r>
          </w:p>
        </w:tc>
        <w:tc>
          <w:tcPr>
            <w:tcW w:type="dxa" w:w="20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$234,620</w:t>
            </w:r>
          </w:p>
        </w:tc>
      </w:tr>
      <w:tr>
        <w:tc>
          <w:tcPr>
            <w:tcW w:type="dxa" w:w="42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11</w:t>
            </w:r>
          </w:p>
        </w:tc>
        <w:tc>
          <w:tcPr>
            <w:tcW w:type="dxa" w:w="26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Política de resguardo documental 10 años — D10</w:t>
            </w:r>
          </w:p>
        </w:tc>
        <w:tc>
          <w:tcPr>
            <w:tcW w:type="dxa" w:w="14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Art. 18-IV</w:t>
            </w:r>
          </w:p>
        </w:tc>
        <w:tc>
          <w:tcPr>
            <w:tcW w:type="dxa" w:w="15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 C  [ ] P  [ ] N</w:t>
            </w:r>
          </w:p>
        </w:tc>
        <w:tc>
          <w:tcPr>
            <w:tcW w:type="dxa" w:w="143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]V [ ]A [ ]R</w:t>
            </w:r>
          </w:p>
        </w:tc>
        <w:tc>
          <w:tcPr>
            <w:tcW w:type="dxa" w:w="20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$234,620</w:t>
            </w:r>
          </w:p>
        </w:tc>
      </w:tr>
      <w:tr>
        <w:tc>
          <w:tcPr>
            <w:tcW w:type="dxa" w:w="42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12</w:t>
            </w:r>
          </w:p>
        </w:tc>
        <w:tc>
          <w:tcPr>
            <w:tcW w:type="dxa" w:w="26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Mecanismos automatizados de monitoreo (obligación nueva)</w:t>
            </w:r>
          </w:p>
        </w:tc>
        <w:tc>
          <w:tcPr>
            <w:tcW w:type="dxa" w:w="14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Art. 18-X</w:t>
            </w:r>
          </w:p>
        </w:tc>
        <w:tc>
          <w:tcPr>
            <w:tcW w:type="dxa" w:w="15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 C  [ ] P  [ ] N</w:t>
            </w:r>
          </w:p>
        </w:tc>
        <w:tc>
          <w:tcPr>
            <w:tcW w:type="dxa" w:w="143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]V [ ]A [ ]R</w:t>
            </w:r>
          </w:p>
        </w:tc>
        <w:tc>
          <w:tcPr>
            <w:tcW w:type="dxa" w:w="20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$234,620</w:t>
            </w:r>
          </w:p>
        </w:tc>
      </w:tr>
      <w:tr>
        <w:tc>
          <w:tcPr>
            <w:tcW w:type="dxa" w:w="42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13</w:t>
            </w:r>
          </w:p>
        </w:tc>
        <w:tc>
          <w:tcPr>
            <w:tcW w:type="dxa" w:w="26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Auditoría interna del programa — D13</w:t>
            </w:r>
          </w:p>
        </w:tc>
        <w:tc>
          <w:tcPr>
            <w:tcW w:type="dxa" w:w="14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Art. 18-XI</w:t>
            </w:r>
          </w:p>
        </w:tc>
        <w:tc>
          <w:tcPr>
            <w:tcW w:type="dxa" w:w="15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 C  [ ] P  [ ] N</w:t>
            </w:r>
          </w:p>
        </w:tc>
        <w:tc>
          <w:tcPr>
            <w:tcW w:type="dxa" w:w="143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]V [ ]A [ ]R</w:t>
            </w:r>
          </w:p>
        </w:tc>
        <w:tc>
          <w:tcPr>
            <w:tcW w:type="dxa" w:w="20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$234,620</w:t>
            </w:r>
          </w:p>
        </w:tc>
      </w:tr>
      <w:tr>
        <w:tc>
          <w:tcPr>
            <w:tcW w:type="dxa" w:w="42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14</w:t>
            </w:r>
          </w:p>
        </w:tc>
        <w:tc>
          <w:tcPr>
            <w:tcW w:type="dxa" w:w="26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Restricción de pagos en efectivo (Art. 32, 8,025 UMA)</w:t>
            </w:r>
          </w:p>
        </w:tc>
        <w:tc>
          <w:tcPr>
            <w:tcW w:type="dxa" w:w="14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Art. 32-33</w:t>
            </w:r>
          </w:p>
        </w:tc>
        <w:tc>
          <w:tcPr>
            <w:tcW w:type="dxa" w:w="15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 C  [ ] P  [ ] N</w:t>
            </w:r>
          </w:p>
        </w:tc>
        <w:tc>
          <w:tcPr>
            <w:tcW w:type="dxa" w:w="143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 ]V [ ]A [ ]R</w:t>
            </w:r>
          </w:p>
        </w:tc>
        <w:tc>
          <w:tcPr>
            <w:tcW w:type="dxa" w:w="20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$7,624,150</w:t>
            </w:r>
          </w:p>
        </w:tc>
      </w:tr>
    </w:tbl>
    <w:p/>
    <w:p>
      <w:pPr>
        <w:spacing w:after="110"/>
      </w:pPr>
      <w:r>
        <w:rPr>
          <w:rFonts w:ascii="Calibri" w:cs="Calibri" w:eastAsia="Calibri" w:hAnsi="Calibri"/>
          <w:i/>
          <w:iCs/>
          <w:color w:val="595959"/>
          <w:sz w:val="18"/>
          <w:szCs w:val="18"/>
        </w:rPr>
        <w:t xml:space="preserve">Nota: los rubros 8 y 9 tienen mayor peso relativo en notarías que en inmobiliarias — a diferencia del régimen inmobiliario, tres de los cinco incisos (b, c, e) son SIEMPRE objeto de aviso sin importar el monto, por lo que la omisión histórica de avisos suele ser más extensa de lo que el Notario anticipa.</w:t>
      </w:r>
    </w:p>
    <w:p>
      <w:pPr>
        <w:pBdr>
          <w:bottom w:val="single" w:color="B08D57" w:sz="6" w:space="2"/>
        </w:pBdr>
        <w:spacing w:after="120" w:before="240"/>
      </w:pPr>
      <w:r>
        <w:rPr>
          <w:rFonts w:ascii="Calibri" w:cs="Calibri" w:eastAsia="Calibri" w:hAnsi="Calibri"/>
          <w:b/>
          <w:bCs/>
          <w:color w:val="1F3864"/>
          <w:sz w:val="23"/>
          <w:szCs w:val="23"/>
        </w:rPr>
        <w:t xml:space="preserve">III. Resumen ejecutivo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c>
          <w:tcPr>
            <w:tcW w:type="dxa" w:w="3200"/>
            <w:shd w:fill="EDEDED" w:val="clear"/>
            <w:tcMar>
              <w:top w:type="dxa" w:w="60"/>
              <w:left w:type="dxa" w:w="80"/>
              <w:bottom w:type="dxa" w:w="60"/>
              <w:right w:type="dxa" w:w="80"/>
            </w:tcMar>
            <w:vAlign w:val="center"/>
          </w:tcPr>
          <w:p>
            <w:r>
              <w:rPr>
                <w:rFonts w:ascii="Calibri" w:cs="Calibri" w:eastAsia="Calibri" w:hAnsi="Calibri"/>
                <w:b/>
                <w:bCs/>
                <w:sz w:val="17"/>
                <w:szCs w:val="17"/>
              </w:rPr>
              <w:t xml:space="preserve">Total de rubros evaluados:</w:t>
            </w:r>
          </w:p>
        </w:tc>
        <w:tc>
          <w:tcPr>
            <w:tcW w:type="dxa" w:w="6150"/>
            <w:tcMar>
              <w:top w:type="dxa" w:w="60"/>
              <w:left w:type="dxa" w:w="80"/>
              <w:bottom w:type="dxa" w:w="60"/>
              <w:right w:type="dxa" w:w="80"/>
            </w:tcMar>
            <w:vAlign w:val="center"/>
          </w:tcPr>
          <w:p>
            <w:r>
              <w:rPr>
                <w:rFonts w:ascii="Calibri" w:cs="Calibri" w:eastAsia="Calibri" w:hAnsi="Calibri"/>
                <w:b w:val="false"/>
                <w:bCs w:val="false"/>
                <w:sz w:val="17"/>
                <w:szCs w:val="17"/>
              </w:rPr>
              <w:t xml:space="preserve">14</w:t>
            </w:r>
          </w:p>
        </w:tc>
      </w:tr>
      <w:tr>
        <w:tc>
          <w:tcPr>
            <w:tcW w:type="dxa" w:w="3200"/>
            <w:shd w:fill="EDEDED" w:val="clear"/>
            <w:tcMar>
              <w:top w:type="dxa" w:w="60"/>
              <w:left w:type="dxa" w:w="80"/>
              <w:bottom w:type="dxa" w:w="60"/>
              <w:right w:type="dxa" w:w="80"/>
            </w:tcMar>
            <w:vAlign w:val="center"/>
          </w:tcPr>
          <w:p>
            <w:r>
              <w:rPr>
                <w:rFonts w:ascii="Calibri" w:cs="Calibri" w:eastAsia="Calibri" w:hAnsi="Calibri"/>
                <w:b/>
                <w:bCs/>
                <w:sz w:val="17"/>
                <w:szCs w:val="17"/>
              </w:rPr>
              <w:t xml:space="preserve">Rubros en cumplimiento (VERDE):</w:t>
            </w:r>
          </w:p>
        </w:tc>
        <w:tc>
          <w:tcPr>
            <w:tcW w:type="dxa" w:w="6150"/>
            <w:tcMar>
              <w:top w:type="dxa" w:w="60"/>
              <w:left w:type="dxa" w:w="80"/>
              <w:bottom w:type="dxa" w:w="60"/>
              <w:right w:type="dxa" w:w="80"/>
            </w:tcMar>
            <w:vAlign w:val="center"/>
          </w:tcPr>
          <w:p>
            <w:r>
              <w:rPr>
                <w:rFonts w:ascii="Calibri" w:cs="Calibri" w:eastAsia="Calibri" w:hAnsi="Calibri"/>
                <w:b w:val="false"/>
                <w:bCs w:val="false"/>
                <w:sz w:val="17"/>
                <w:szCs w:val="17"/>
              </w:rPr>
              <w:t xml:space="preserve">[  ]</w:t>
            </w:r>
          </w:p>
        </w:tc>
      </w:tr>
      <w:tr>
        <w:tc>
          <w:tcPr>
            <w:tcW w:type="dxa" w:w="3200"/>
            <w:shd w:fill="EDEDED" w:val="clear"/>
            <w:tcMar>
              <w:top w:type="dxa" w:w="60"/>
              <w:left w:type="dxa" w:w="80"/>
              <w:bottom w:type="dxa" w:w="60"/>
              <w:right w:type="dxa" w:w="80"/>
            </w:tcMar>
            <w:vAlign w:val="center"/>
          </w:tcPr>
          <w:p>
            <w:r>
              <w:rPr>
                <w:rFonts w:ascii="Calibri" w:cs="Calibri" w:eastAsia="Calibri" w:hAnsi="Calibri"/>
                <w:b/>
                <w:bCs/>
                <w:sz w:val="17"/>
                <w:szCs w:val="17"/>
              </w:rPr>
              <w:t xml:space="preserve">Rubros en cumplimiento parcial (AMARILLO):</w:t>
            </w:r>
          </w:p>
        </w:tc>
        <w:tc>
          <w:tcPr>
            <w:tcW w:type="dxa" w:w="6150"/>
            <w:tcMar>
              <w:top w:type="dxa" w:w="60"/>
              <w:left w:type="dxa" w:w="80"/>
              <w:bottom w:type="dxa" w:w="60"/>
              <w:right w:type="dxa" w:w="80"/>
            </w:tcMar>
            <w:vAlign w:val="center"/>
          </w:tcPr>
          <w:p>
            <w:r>
              <w:rPr>
                <w:rFonts w:ascii="Calibri" w:cs="Calibri" w:eastAsia="Calibri" w:hAnsi="Calibri"/>
                <w:b w:val="false"/>
                <w:bCs w:val="false"/>
                <w:sz w:val="17"/>
                <w:szCs w:val="17"/>
              </w:rPr>
              <w:t xml:space="preserve">[  ]</w:t>
            </w:r>
          </w:p>
        </w:tc>
      </w:tr>
      <w:tr>
        <w:tc>
          <w:tcPr>
            <w:tcW w:type="dxa" w:w="3200"/>
            <w:shd w:fill="EDEDED" w:val="clear"/>
            <w:tcMar>
              <w:top w:type="dxa" w:w="60"/>
              <w:left w:type="dxa" w:w="80"/>
              <w:bottom w:type="dxa" w:w="60"/>
              <w:right w:type="dxa" w:w="80"/>
            </w:tcMar>
            <w:vAlign w:val="center"/>
          </w:tcPr>
          <w:p>
            <w:r>
              <w:rPr>
                <w:rFonts w:ascii="Calibri" w:cs="Calibri" w:eastAsia="Calibri" w:hAnsi="Calibri"/>
                <w:b/>
                <w:bCs/>
                <w:sz w:val="17"/>
                <w:szCs w:val="17"/>
              </w:rPr>
              <w:t xml:space="preserve">Rubros en incumplimiento (ROJO):</w:t>
            </w:r>
          </w:p>
        </w:tc>
        <w:tc>
          <w:tcPr>
            <w:tcW w:type="dxa" w:w="6150"/>
            <w:tcMar>
              <w:top w:type="dxa" w:w="60"/>
              <w:left w:type="dxa" w:w="80"/>
              <w:bottom w:type="dxa" w:w="60"/>
              <w:right w:type="dxa" w:w="80"/>
            </w:tcMar>
            <w:vAlign w:val="center"/>
          </w:tcPr>
          <w:p>
            <w:r>
              <w:rPr>
                <w:rFonts w:ascii="Calibri" w:cs="Calibri" w:eastAsia="Calibri" w:hAnsi="Calibri"/>
                <w:b w:val="false"/>
                <w:bCs w:val="false"/>
                <w:sz w:val="17"/>
                <w:szCs w:val="17"/>
              </w:rPr>
              <w:t xml:space="preserve">[  ]</w:t>
            </w:r>
          </w:p>
        </w:tc>
      </w:tr>
      <w:tr>
        <w:tc>
          <w:tcPr>
            <w:tcW w:type="dxa" w:w="3200"/>
            <w:shd w:fill="EDEDED" w:val="clear"/>
            <w:tcMar>
              <w:top w:type="dxa" w:w="60"/>
              <w:left w:type="dxa" w:w="80"/>
              <w:bottom w:type="dxa" w:w="60"/>
              <w:right w:type="dxa" w:w="80"/>
            </w:tcMar>
            <w:vAlign w:val="center"/>
          </w:tcPr>
          <w:p>
            <w:r>
              <w:rPr>
                <w:rFonts w:ascii="Calibri" w:cs="Calibri" w:eastAsia="Calibri" w:hAnsi="Calibri"/>
                <w:b/>
                <w:bCs/>
                <w:sz w:val="17"/>
                <w:szCs w:val="17"/>
              </w:rPr>
              <w:t xml:space="preserve">Multa máxima acumulada estimada:</w:t>
            </w:r>
          </w:p>
        </w:tc>
        <w:tc>
          <w:tcPr>
            <w:tcW w:type="dxa" w:w="6150"/>
            <w:tcMar>
              <w:top w:type="dxa" w:w="60"/>
              <w:left w:type="dxa" w:w="80"/>
              <w:bottom w:type="dxa" w:w="60"/>
              <w:right w:type="dxa" w:w="80"/>
            </w:tcMar>
            <w:vAlign w:val="center"/>
          </w:tcPr>
          <w:p>
            <w:r>
              <w:rPr>
                <w:rFonts w:ascii="Calibri" w:cs="Calibri" w:eastAsia="Calibri" w:hAnsi="Calibri"/>
                <w:b w:val="false"/>
                <w:bCs w:val="false"/>
                <w:sz w:val="17"/>
                <w:szCs w:val="17"/>
              </w:rPr>
              <w:t xml:space="preserve">$[  ] MXN</w:t>
            </w:r>
          </w:p>
        </w:tc>
      </w:tr>
      <w:tr>
        <w:tc>
          <w:tcPr>
            <w:tcW w:type="dxa" w:w="3200"/>
            <w:shd w:fill="EDEDED" w:val="clear"/>
            <w:tcMar>
              <w:top w:type="dxa" w:w="60"/>
              <w:left w:type="dxa" w:w="80"/>
              <w:bottom w:type="dxa" w:w="60"/>
              <w:right w:type="dxa" w:w="80"/>
            </w:tcMar>
            <w:vAlign w:val="center"/>
          </w:tcPr>
          <w:p>
            <w:r>
              <w:rPr>
                <w:rFonts w:ascii="Calibri" w:cs="Calibri" w:eastAsia="Calibri" w:hAnsi="Calibri"/>
                <w:b/>
                <w:bCs/>
                <w:sz w:val="17"/>
                <w:szCs w:val="17"/>
              </w:rPr>
              <w:t xml:space="preserve">Reducción posible por actuación espontánea (Art. 55 Ley, hasta 50%):</w:t>
            </w:r>
          </w:p>
        </w:tc>
        <w:tc>
          <w:tcPr>
            <w:tcW w:type="dxa" w:w="6150"/>
            <w:tcMar>
              <w:top w:type="dxa" w:w="60"/>
              <w:left w:type="dxa" w:w="80"/>
              <w:bottom w:type="dxa" w:w="60"/>
              <w:right w:type="dxa" w:w="80"/>
            </w:tcMar>
            <w:vAlign w:val="center"/>
          </w:tcPr>
          <w:p>
            <w:r>
              <w:rPr>
                <w:rFonts w:ascii="Calibri" w:cs="Calibri" w:eastAsia="Calibri" w:hAnsi="Calibri"/>
                <w:b w:val="false"/>
                <w:bCs w:val="false"/>
                <w:sz w:val="17"/>
                <w:szCs w:val="17"/>
              </w:rPr>
              <w:t xml:space="preserve">$[  ] MXN</w:t>
            </w:r>
          </w:p>
        </w:tc>
      </w:tr>
      <w:tr>
        <w:tc>
          <w:tcPr>
            <w:tcW w:type="dxa" w:w="3200"/>
            <w:shd w:fill="EDEDED" w:val="clear"/>
            <w:tcMar>
              <w:top w:type="dxa" w:w="60"/>
              <w:left w:type="dxa" w:w="80"/>
              <w:bottom w:type="dxa" w:w="60"/>
              <w:right w:type="dxa" w:w="80"/>
            </w:tcMar>
            <w:vAlign w:val="center"/>
          </w:tcPr>
          <w:p>
            <w:r>
              <w:rPr>
                <w:rFonts w:ascii="Calibri" w:cs="Calibri" w:eastAsia="Calibri" w:hAnsi="Calibri"/>
                <w:b/>
                <w:bCs/>
                <w:sz w:val="17"/>
                <w:szCs w:val="17"/>
              </w:rPr>
              <w:t xml:space="preserve">Riesgo adicional (Art. 58 — autoridad estatal de fe pública):</w:t>
            </w:r>
          </w:p>
        </w:tc>
        <w:tc>
          <w:tcPr>
            <w:tcW w:type="dxa" w:w="6150"/>
            <w:tcMar>
              <w:top w:type="dxa" w:w="60"/>
              <w:left w:type="dxa" w:w="80"/>
              <w:bottom w:type="dxa" w:w="60"/>
              <w:right w:type="dxa" w:w="80"/>
            </w:tcMar>
            <w:vAlign w:val="center"/>
          </w:tcPr>
          <w:p>
            <w:r>
              <w:rPr>
                <w:rFonts w:ascii="Calibri" w:cs="Calibri" w:eastAsia="Calibri" w:hAnsi="Calibri"/>
                <w:b w:val="false"/>
                <w:bCs w:val="false"/>
                <w:sz w:val="17"/>
                <w:szCs w:val="17"/>
              </w:rPr>
              <w:t xml:space="preserve">[ ] Sí, aplica  [ ] No identificado</w:t>
            </w:r>
          </w:p>
        </w:tc>
      </w:tr>
    </w:tbl>
    <w:p>
      <w:pPr>
        <w:pBdr>
          <w:bottom w:val="single" w:color="B08D57" w:sz="6" w:space="2"/>
        </w:pBdr>
        <w:spacing w:after="120" w:before="240"/>
      </w:pPr>
      <w:r>
        <w:rPr>
          <w:rFonts w:ascii="Calibri" w:cs="Calibri" w:eastAsia="Calibri" w:hAnsi="Calibri"/>
          <w:b/>
          <w:bCs/>
          <w:color w:val="1F3864"/>
          <w:sz w:val="23"/>
          <w:szCs w:val="23"/>
        </w:rPr>
        <w:t xml:space="preserve">IV. Plan de acción correctiva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1600"/>
        <w:gridCol w:w="1300"/>
        <w:gridCol w:w="1450"/>
      </w:tblGrid>
      <w:tr>
        <w:trPr>
          <w:tblHeader/>
        </w:trPr>
        <w:tc>
          <w:tcPr>
            <w:tcW w:type="dxa" w:w="1500"/>
            <w:shd w:fill="1F3864" w:val="clear"/>
            <w:tcMar>
              <w:top w:type="dxa" w:w="60"/>
              <w:left w:type="dxa" w:w="80"/>
              <w:bottom w:type="dxa" w:w="60"/>
              <w:right w:type="dxa" w:w="80"/>
            </w:tcMar>
            <w:vAlign w:val="center"/>
          </w:tcPr>
          <w:p>
            <w:r>
              <w:rPr>
                <w:rFonts w:ascii="Calibri" w:cs="Calibri" w:eastAsia="Calibri" w:hAnsi="Calibri"/>
                <w:b/>
                <w:bCs/>
                <w:color w:val="FFFFFF"/>
                <w:sz w:val="17"/>
                <w:szCs w:val="17"/>
              </w:rPr>
              <w:t xml:space="preserve">Rubro</w:t>
            </w:r>
          </w:p>
        </w:tc>
        <w:tc>
          <w:tcPr>
            <w:tcW w:type="dxa" w:w="3500"/>
            <w:shd w:fill="1F3864" w:val="clear"/>
            <w:tcMar>
              <w:top w:type="dxa" w:w="60"/>
              <w:left w:type="dxa" w:w="80"/>
              <w:bottom w:type="dxa" w:w="60"/>
              <w:right w:type="dxa" w:w="80"/>
            </w:tcMar>
            <w:vAlign w:val="center"/>
          </w:tcPr>
          <w:p>
            <w:r>
              <w:rPr>
                <w:rFonts w:ascii="Calibri" w:cs="Calibri" w:eastAsia="Calibri" w:hAnsi="Calibri"/>
                <w:b/>
                <w:bCs/>
                <w:color w:val="FFFFFF"/>
                <w:sz w:val="17"/>
                <w:szCs w:val="17"/>
              </w:rPr>
              <w:t xml:space="preserve">Acción correctiva</w:t>
            </w:r>
          </w:p>
        </w:tc>
        <w:tc>
          <w:tcPr>
            <w:tcW w:type="dxa" w:w="1600"/>
            <w:shd w:fill="1F3864" w:val="clear"/>
            <w:tcMar>
              <w:top w:type="dxa" w:w="60"/>
              <w:left w:type="dxa" w:w="80"/>
              <w:bottom w:type="dxa" w:w="60"/>
              <w:right w:type="dxa" w:w="80"/>
            </w:tcMar>
            <w:vAlign w:val="center"/>
          </w:tcPr>
          <w:p>
            <w:r>
              <w:rPr>
                <w:rFonts w:ascii="Calibri" w:cs="Calibri" w:eastAsia="Calibri" w:hAnsi="Calibri"/>
                <w:b/>
                <w:bCs/>
                <w:color w:val="FFFFFF"/>
                <w:sz w:val="17"/>
                <w:szCs w:val="17"/>
              </w:rPr>
              <w:t xml:space="preserve">Doc. Certus PLD</w:t>
            </w:r>
          </w:p>
        </w:tc>
        <w:tc>
          <w:tcPr>
            <w:tcW w:type="dxa" w:w="1300"/>
            <w:shd w:fill="1F3864" w:val="clear"/>
            <w:tcMar>
              <w:top w:type="dxa" w:w="60"/>
              <w:left w:type="dxa" w:w="80"/>
              <w:bottom w:type="dxa" w:w="60"/>
              <w:right w:type="dxa" w:w="80"/>
            </w:tcMar>
            <w:vAlign w:val="center"/>
          </w:tcPr>
          <w:p>
            <w:r>
              <w:rPr>
                <w:rFonts w:ascii="Calibri" w:cs="Calibri" w:eastAsia="Calibri" w:hAnsi="Calibri"/>
                <w:b/>
                <w:bCs/>
                <w:color w:val="FFFFFF"/>
                <w:sz w:val="17"/>
                <w:szCs w:val="17"/>
              </w:rPr>
              <w:t xml:space="preserve">Plazo sugerido</w:t>
            </w:r>
          </w:p>
        </w:tc>
        <w:tc>
          <w:tcPr>
            <w:tcW w:type="dxa" w:w="1450"/>
            <w:shd w:fill="1F3864" w:val="clear"/>
            <w:tcMar>
              <w:top w:type="dxa" w:w="60"/>
              <w:left w:type="dxa" w:w="80"/>
              <w:bottom w:type="dxa" w:w="60"/>
              <w:right w:type="dxa" w:w="80"/>
            </w:tcMar>
            <w:vAlign w:val="center"/>
          </w:tcPr>
          <w:p>
            <w:r>
              <w:rPr>
                <w:rFonts w:ascii="Calibri" w:cs="Calibri" w:eastAsia="Calibri" w:hAnsi="Calibri"/>
                <w:b/>
                <w:bCs/>
                <w:color w:val="FFFFFF"/>
                <w:sz w:val="17"/>
                <w:szCs w:val="17"/>
              </w:rPr>
              <w:t xml:space="preserve">Responsable</w:t>
            </w:r>
          </w:p>
        </w:tc>
      </w:tr>
      <w:tr>
        <w:tc>
          <w:tcPr>
            <w:tcW w:type="dxa" w:w="15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1 - Registro SAT</w:t>
            </w:r>
          </w:p>
        </w:tc>
        <w:tc>
          <w:tcPr>
            <w:tcW w:type="dxa" w:w="35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Iniciar trámite de alta personal en SPPLD</w:t>
            </w:r>
          </w:p>
        </w:tc>
        <w:tc>
          <w:tcPr>
            <w:tcW w:type="dxa" w:w="16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D3-NOT</w:t>
            </w:r>
          </w:p>
        </w:tc>
        <w:tc>
          <w:tcPr>
            <w:tcW w:type="dxa" w:w="13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Semana 1</w:t>
            </w:r>
          </w:p>
        </w:tc>
        <w:tc>
          <w:tcPr>
            <w:tcW w:type="dxa" w:w="145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Notario Titular</w:t>
            </w:r>
          </w:p>
        </w:tc>
      </w:tr>
      <w:tr>
        <w:tc>
          <w:tcPr>
            <w:tcW w:type="dxa" w:w="15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2 - Asunción personal</w:t>
            </w:r>
          </w:p>
        </w:tc>
        <w:tc>
          <w:tcPr>
            <w:tcW w:type="dxa" w:w="35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Firmar Constancia de Asunción Personal</w:t>
            </w:r>
          </w:p>
        </w:tc>
        <w:tc>
          <w:tcPr>
            <w:tcW w:type="dxa" w:w="16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D2-NOT</w:t>
            </w:r>
          </w:p>
        </w:tc>
        <w:tc>
          <w:tcPr>
            <w:tcW w:type="dxa" w:w="13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Semana 1</w:t>
            </w:r>
          </w:p>
        </w:tc>
        <w:tc>
          <w:tcPr>
            <w:tcW w:type="dxa" w:w="145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Notario Titular</w:t>
            </w:r>
          </w:p>
        </w:tc>
      </w:tr>
      <w:tr>
        <w:tc>
          <w:tcPr>
            <w:tcW w:type="dxa" w:w="15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4 - KYC</w:t>
            </w:r>
          </w:p>
        </w:tc>
        <w:tc>
          <w:tcPr>
            <w:tcW w:type="dxa" w:w="35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Integrar expedientes de actos formalizados en los últimos 12 meses</w:t>
            </w:r>
          </w:p>
        </w:tc>
        <w:tc>
          <w:tcPr>
            <w:tcW w:type="dxa" w:w="16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D7-NOT</w:t>
            </w:r>
          </w:p>
        </w:tc>
        <w:tc>
          <w:tcPr>
            <w:tcW w:type="dxa" w:w="130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Semana 2-4</w:t>
            </w:r>
          </w:p>
        </w:tc>
        <w:tc>
          <w:tcPr>
            <w:tcW w:type="dxa" w:w="1450"/>
            <w:shd w:fill="FFFFFF"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Notario / Enc. Operativo</w:t>
            </w:r>
          </w:p>
        </w:tc>
      </w:tr>
      <w:tr>
        <w:tc>
          <w:tcPr>
            <w:tcW w:type="dxa" w:w="15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8 - Avisos siempre obligatorios</w:t>
            </w:r>
          </w:p>
        </w:tc>
        <w:tc>
          <w:tcPr>
            <w:tcW w:type="dxa" w:w="35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Revisar actos históricos de incisos b), c) y e) sin aviso presentado</w:t>
            </w:r>
          </w:p>
        </w:tc>
        <w:tc>
          <w:tcPr>
            <w:tcW w:type="dxa" w:w="16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D12-NOT</w:t>
            </w:r>
          </w:p>
        </w:tc>
        <w:tc>
          <w:tcPr>
            <w:tcW w:type="dxa" w:w="130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Semana 1-2</w:t>
            </w:r>
          </w:p>
        </w:tc>
        <w:tc>
          <w:tcPr>
            <w:tcW w:type="dxa" w:w="1450"/>
            <w:shd w:fill="F4F4F4" w:val="clear"/>
            <w:tcMar>
              <w:top w:type="dxa" w:w="60"/>
              <w:left w:type="dxa" w:w="80"/>
              <w:bottom w:type="dxa" w:w="60"/>
              <w:right w:type="dxa" w:w="80"/>
            </w:tcMar>
            <w:vAlign w:val="center"/>
          </w:tcPr>
          <w:p>
            <w:r>
              <w:rPr>
                <w:rFonts w:ascii="Calibri" w:cs="Calibri" w:eastAsia="Calibri" w:hAnsi="Calibri"/>
                <w:b w:val="false"/>
                <w:bCs w:val="false"/>
                <w:sz w:val="17"/>
                <w:szCs w:val="17"/>
              </w:rPr>
              <w:t xml:space="preserve">Notario Titular</w:t>
            </w:r>
          </w:p>
        </w:tc>
      </w:tr>
    </w:tbl>
    <w:p/>
    <w:p>
      <w:pPr>
        <w:pBdr>
          <w:top w:val="single" w:color="B08D57" w:sz="4" w:space="4"/>
        </w:pBdr>
        <w:spacing w:before="200"/>
      </w:pPr>
      <w:r>
        <w:rPr>
          <w:rFonts w:ascii="Calibri" w:cs="Calibri" w:eastAsia="Calibri" w:hAnsi="Calibri"/>
          <w:color w:val="808080"/>
          <w:sz w:val="16"/>
          <w:szCs w:val="16"/>
        </w:rPr>
        <w:t xml:space="preserve">CERTUS CONSULTORES  |  Certus PLD  |  Mérida, Yucatán  |  999 163 1363</w:t>
      </w:r>
    </w:p>
    <w:sectPr>
      <w:pgSz w:w="12240" w:h="15840" w:orient="portrait"/>
      <w:pgMar w:top="900" w:right="700" w:bottom="90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2026-09-09T01:41:35.476Z</dcterms:created>
  <dcterms:modified xsi:type="dcterms:W3CDTF">2026-09-09T01:41:35.487Z</dcterms:modified>
</cp:coreProperties>
</file>

<file path=docProps/custom.xml><?xml version="1.0" encoding="utf-8"?>
<Properties xmlns="http://schemas.openxmlformats.org/officeDocument/2006/custom-properties" xmlns:vt="http://schemas.openxmlformats.org/officeDocument/2006/docPropsVTypes"/>
</file>