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140"/>
              <w:left w:type="dxa" w:w="160"/>
              <w:bottom w:type="dxa" w:w="140"/>
              <w:right w:type="dxa" w:w="160"/>
            </w:tcMar>
          </w:tcPr>
          <w:p>
            <w:r>
              <w:rPr>
                <w:rFonts w:ascii="Calibri" w:cs="Calibri" w:eastAsia="Calibri" w:hAnsi="Calibri"/>
                <w:b/>
                <w:bCs/>
                <w:color w:val="FFFFFF"/>
                <w:sz w:val="22"/>
                <w:szCs w:val="22"/>
              </w:rPr>
              <w:t xml:space="preserve">CERTUS PLD</w:t>
            </w:r>
            <w:r>
              <w:rPr>
                <w:rFonts w:ascii="Calibri" w:cs="Calibri" w:eastAsia="Calibri" w:hAnsi="Calibri"/>
                <w:color w:val="B08D57"/>
                <w:sz w:val="22"/>
                <w:szCs w:val="22"/>
              </w:rPr>
              <w:t xml:space="preserve">   |   </w:t>
            </w:r>
            <w:r>
              <w:rPr>
                <w:rFonts w:ascii="Calibri" w:cs="Calibri" w:eastAsia="Calibri" w:hAnsi="Calibri"/>
                <w:b/>
                <w:bCs/>
                <w:color w:val="B08D57"/>
                <w:sz w:val="22"/>
                <w:szCs w:val="22"/>
              </w:rPr>
              <w:t xml:space="preserve">D5-NOT </w:t>
            </w:r>
            <w:r>
              <w:rPr>
                <w:rFonts w:ascii="Calibri" w:cs="Calibri" w:eastAsia="Calibri" w:hAnsi="Calibri"/>
                <w:b/>
                <w:bCs/>
                <w:color w:val="FFFFFF"/>
                <w:sz w:val="22"/>
                <w:szCs w:val="22"/>
              </w:rPr>
              <w:t xml:space="preserve">Manual de Cumplimiento PLD/FT — Notarías</w:t>
            </w:r>
          </w:p>
          <w:p>
            <w:pPr>
              <w:spacing w:before="40"/>
            </w:pPr>
            <w:r>
              <w:rPr>
                <w:rFonts w:ascii="Calibri" w:cs="Calibri" w:eastAsia="Calibri" w:hAnsi="Calibri"/>
                <w:color w:val="D9D9D9"/>
                <w:sz w:val="18"/>
                <w:szCs w:val="18"/>
              </w:rPr>
              <w:t xml:space="preserve">Notaría: [Denominación de la Notaría]   │   Variante: Fe Pública — Fracción XII LFPIORPI</w:t>
            </w:r>
          </w:p>
        </w:tc>
      </w:tr>
    </w:tbl>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EDEDED" w:val="clear"/>
            <w:tcMar>
              <w:top w:type="dxa" w:w="60"/>
              <w:left w:type="dxa" w:w="90"/>
              <w:bottom w:type="dxa" w:w="60"/>
              <w:right w:type="dxa" w:w="90"/>
            </w:tcMar>
            <w:vAlign w:val="center"/>
          </w:tcPr>
          <w:p>
            <w:r>
              <w:rPr>
                <w:rFonts w:ascii="Calibri" w:cs="Calibri" w:eastAsia="Calibri" w:hAnsi="Calibri"/>
                <w:b/>
                <w:bCs/>
                <w:sz w:val="17"/>
                <w:szCs w:val="17"/>
              </w:rPr>
              <w:t xml:space="preserve">Notaría:</w:t>
            </w:r>
          </w:p>
        </w:tc>
        <w:tc>
          <w:tcPr>
            <w:tcW w:type="dxa" w:w="6150"/>
            <w:tcMar>
              <w:top w:type="dxa" w:w="60"/>
              <w:left w:type="dxa" w:w="90"/>
              <w:bottom w:type="dxa" w:w="60"/>
              <w:right w:type="dxa" w:w="90"/>
            </w:tcMar>
            <w:vAlign w:val="center"/>
          </w:tcPr>
          <w:p>
            <w:r>
              <w:rPr>
                <w:rFonts w:ascii="Calibri" w:cs="Calibri" w:eastAsia="Calibri" w:hAnsi="Calibri"/>
                <w:b w:val="false"/>
                <w:bCs w:val="false"/>
                <w:sz w:val="17"/>
                <w:szCs w:val="17"/>
              </w:rPr>
              <w:t xml:space="preserve">[Denominación completa]</w:t>
            </w:r>
          </w:p>
        </w:tc>
      </w:tr>
      <w:tr>
        <w:tc>
          <w:tcPr>
            <w:tcW w:type="dxa" w:w="3200"/>
            <w:shd w:fill="EDEDED" w:val="clear"/>
            <w:tcMar>
              <w:top w:type="dxa" w:w="60"/>
              <w:left w:type="dxa" w:w="90"/>
              <w:bottom w:type="dxa" w:w="60"/>
              <w:right w:type="dxa" w:w="90"/>
            </w:tcMar>
            <w:vAlign w:val="center"/>
          </w:tcPr>
          <w:p>
            <w:r>
              <w:rPr>
                <w:rFonts w:ascii="Calibri" w:cs="Calibri" w:eastAsia="Calibri" w:hAnsi="Calibri"/>
                <w:b/>
                <w:bCs/>
                <w:sz w:val="17"/>
                <w:szCs w:val="17"/>
              </w:rPr>
              <w:t xml:space="preserve">Notario Titular:</w:t>
            </w:r>
          </w:p>
        </w:tc>
        <w:tc>
          <w:tcPr>
            <w:tcW w:type="dxa" w:w="6150"/>
            <w:tcMar>
              <w:top w:type="dxa" w:w="60"/>
              <w:left w:type="dxa" w:w="90"/>
              <w:bottom w:type="dxa" w:w="60"/>
              <w:right w:type="dxa" w:w="90"/>
            </w:tcMar>
            <w:vAlign w:val="center"/>
          </w:tcPr>
          <w:p>
            <w:r>
              <w:rPr>
                <w:rFonts w:ascii="Calibri" w:cs="Calibri" w:eastAsia="Calibri" w:hAnsi="Calibri"/>
                <w:b w:val="false"/>
                <w:bCs w:val="false"/>
                <w:sz w:val="17"/>
                <w:szCs w:val="17"/>
              </w:rPr>
              <w:t xml:space="preserve">[Nombre]</w:t>
            </w:r>
          </w:p>
        </w:tc>
      </w:tr>
      <w:tr>
        <w:tc>
          <w:tcPr>
            <w:tcW w:type="dxa" w:w="3200"/>
            <w:shd w:fill="EDEDED" w:val="clear"/>
            <w:tcMar>
              <w:top w:type="dxa" w:w="60"/>
              <w:left w:type="dxa" w:w="90"/>
              <w:bottom w:type="dxa" w:w="60"/>
              <w:right w:type="dxa" w:w="90"/>
            </w:tcMar>
            <w:vAlign w:val="center"/>
          </w:tcPr>
          <w:p>
            <w:r>
              <w:rPr>
                <w:rFonts w:ascii="Calibri" w:cs="Calibri" w:eastAsia="Calibri" w:hAnsi="Calibri"/>
                <w:b/>
                <w:bCs/>
                <w:sz w:val="17"/>
                <w:szCs w:val="17"/>
              </w:rPr>
              <w:t xml:space="preserve">Versión:</w:t>
            </w:r>
          </w:p>
        </w:tc>
        <w:tc>
          <w:tcPr>
            <w:tcW w:type="dxa" w:w="6150"/>
            <w:tcMar>
              <w:top w:type="dxa" w:w="60"/>
              <w:left w:type="dxa" w:w="90"/>
              <w:bottom w:type="dxa" w:w="60"/>
              <w:right w:type="dxa" w:w="90"/>
            </w:tcMar>
            <w:vAlign w:val="center"/>
          </w:tcPr>
          <w:p>
            <w:r>
              <w:rPr>
                <w:rFonts w:ascii="Calibri" w:cs="Calibri" w:eastAsia="Calibri" w:hAnsi="Calibri"/>
                <w:b w:val="false"/>
                <w:bCs w:val="false"/>
                <w:sz w:val="17"/>
                <w:szCs w:val="17"/>
              </w:rPr>
              <w:t xml:space="preserve">1.0 — [Fecha de adopción]</w:t>
            </w:r>
          </w:p>
        </w:tc>
      </w:tr>
      <w:tr>
        <w:tc>
          <w:tcPr>
            <w:tcW w:type="dxa" w:w="3200"/>
            <w:shd w:fill="EDEDED" w:val="clear"/>
            <w:tcMar>
              <w:top w:type="dxa" w:w="60"/>
              <w:left w:type="dxa" w:w="90"/>
              <w:bottom w:type="dxa" w:w="60"/>
              <w:right w:type="dxa" w:w="90"/>
            </w:tcMar>
            <w:vAlign w:val="center"/>
          </w:tcPr>
          <w:p>
            <w:r>
              <w:rPr>
                <w:rFonts w:ascii="Calibri" w:cs="Calibri" w:eastAsia="Calibri" w:hAnsi="Calibri"/>
                <w:b/>
                <w:bCs/>
                <w:sz w:val="17"/>
                <w:szCs w:val="17"/>
              </w:rPr>
              <w:t xml:space="preserve">Aprobó:</w:t>
            </w:r>
          </w:p>
        </w:tc>
        <w:tc>
          <w:tcPr>
            <w:tcW w:type="dxa" w:w="6150"/>
            <w:tcMar>
              <w:top w:type="dxa" w:w="60"/>
              <w:left w:type="dxa" w:w="90"/>
              <w:bottom w:type="dxa" w:w="60"/>
              <w:right w:type="dxa" w:w="90"/>
            </w:tcMar>
            <w:vAlign w:val="center"/>
          </w:tcPr>
          <w:p>
            <w:r>
              <w:rPr>
                <w:rFonts w:ascii="Calibri" w:cs="Calibri" w:eastAsia="Calibri" w:hAnsi="Calibri"/>
                <w:b w:val="false"/>
                <w:bCs w:val="false"/>
                <w:sz w:val="17"/>
                <w:szCs w:val="17"/>
              </w:rPr>
              <w:t xml:space="preserve">[Notario Titular]</w:t>
            </w:r>
          </w:p>
        </w:tc>
      </w:tr>
      <w:tr>
        <w:tc>
          <w:tcPr>
            <w:tcW w:type="dxa" w:w="3200"/>
            <w:shd w:fill="EDEDED" w:val="clear"/>
            <w:tcMar>
              <w:top w:type="dxa" w:w="60"/>
              <w:left w:type="dxa" w:w="90"/>
              <w:bottom w:type="dxa" w:w="60"/>
              <w:right w:type="dxa" w:w="90"/>
            </w:tcMar>
            <w:vAlign w:val="center"/>
          </w:tcPr>
          <w:p>
            <w:r>
              <w:rPr>
                <w:rFonts w:ascii="Calibri" w:cs="Calibri" w:eastAsia="Calibri" w:hAnsi="Calibri"/>
                <w:b/>
                <w:bCs/>
                <w:sz w:val="17"/>
                <w:szCs w:val="17"/>
              </w:rPr>
              <w:t xml:space="preserve">Elaboró:</w:t>
            </w:r>
          </w:p>
        </w:tc>
        <w:tc>
          <w:tcPr>
            <w:tcW w:type="dxa" w:w="6150"/>
            <w:tcMar>
              <w:top w:type="dxa" w:w="60"/>
              <w:left w:type="dxa" w:w="90"/>
              <w:bottom w:type="dxa" w:w="60"/>
              <w:right w:type="dxa" w:w="90"/>
            </w:tcMar>
            <w:vAlign w:val="center"/>
          </w:tcPr>
          <w:p>
            <w:r>
              <w:rPr>
                <w:rFonts w:ascii="Calibri" w:cs="Calibri" w:eastAsia="Calibri" w:hAnsi="Calibri"/>
                <w:b w:val="false"/>
                <w:bCs w:val="false"/>
                <w:sz w:val="17"/>
                <w:szCs w:val="17"/>
              </w:rPr>
              <w:t xml:space="preserve">Certus Consultores │ Certus PLD</w:t>
            </w:r>
          </w:p>
        </w:tc>
      </w:tr>
      <w:tr>
        <w:tc>
          <w:tcPr>
            <w:tcW w:type="dxa" w:w="3200"/>
            <w:shd w:fill="EDEDED" w:val="clear"/>
            <w:tcMar>
              <w:top w:type="dxa" w:w="60"/>
              <w:left w:type="dxa" w:w="90"/>
              <w:bottom w:type="dxa" w:w="60"/>
              <w:right w:type="dxa" w:w="90"/>
            </w:tcMar>
            <w:vAlign w:val="center"/>
          </w:tcPr>
          <w:p>
            <w:r>
              <w:rPr>
                <w:rFonts w:ascii="Calibri" w:cs="Calibri" w:eastAsia="Calibri" w:hAnsi="Calibri"/>
                <w:b/>
                <w:bCs/>
                <w:sz w:val="17"/>
                <w:szCs w:val="17"/>
              </w:rPr>
              <w:t xml:space="preserve">Vigencia:</w:t>
            </w:r>
          </w:p>
        </w:tc>
        <w:tc>
          <w:tcPr>
            <w:tcW w:type="dxa" w:w="6150"/>
            <w:tcMar>
              <w:top w:type="dxa" w:w="60"/>
              <w:left w:type="dxa" w:w="90"/>
              <w:bottom w:type="dxa" w:w="60"/>
              <w:right w:type="dxa" w:w="90"/>
            </w:tcMar>
            <w:vAlign w:val="center"/>
          </w:tcPr>
          <w:p>
            <w:r>
              <w:rPr>
                <w:rFonts w:ascii="Calibri" w:cs="Calibri" w:eastAsia="Calibri" w:hAnsi="Calibri"/>
                <w:b w:val="false"/>
                <w:bCs w:val="false"/>
                <w:sz w:val="17"/>
                <w:szCs w:val="17"/>
              </w:rPr>
              <w:t xml:space="preserve">Un año a partir de la fecha de adopción — revisión anual obligatoria</w:t>
            </w:r>
          </w:p>
        </w:tc>
      </w:tr>
    </w:tbl>
    <w:p/>
    <w:p>
      <w:pPr>
        <w:spacing w:after="110"/>
      </w:pPr>
      <w:r>
        <w:rPr>
          <w:rFonts w:ascii="Calibri" w:cs="Calibri" w:eastAsia="Calibri" w:hAnsi="Calibri"/>
          <w:i/>
          <w:iCs/>
          <w:sz w:val="18"/>
          <w:szCs w:val="18"/>
        </w:rPr>
        <w:t xml:space="preserve">Índice de capítulos: 1. Introducción y marco normativo │ 2. Objeto y alcance │ 3. Organización y responsabilidades │ 4. Identificación y conocimiento del cliente (KYC) │ 5. Enfoque Basado en Riesgo (EBR) │ 6. Personas Expuestas Políticamente (PEP's) y Beneficiario Controlador │ 7. Operaciones inusuales │ 8. Restricción de pagos en efectivo │ 9. Presentación de avisos ante el SAT │ 10. Resguardo documental │ 11. Capacitación │ 12. Auditoría interna │ 13. Perfil transaccional y alertas │ 14. Seguimiento y acumulación │ 15. Listas de autoridades │ 16. Confidencialidad │ 17. Solicitante material de la protocolización │ 18. Fe pública al Poder Judicial (Art. 13 Bis) │ 19. Apertura, limitación y terminación de relaciones │ 20. Mecanismos automatizados │ 21. Selección y capacitación del personal │ 22. Sanciones aplicables │ 23. Actualización del Manual │ 24. Glosario</w:t>
      </w:r>
    </w:p>
    <w:p>
      <w:pPr>
        <w:shd w:fill="1F3864" w:val="clear"/>
        <w:spacing w:after="100" w:before="220"/>
      </w:pPr>
      <w:r>
        <w:rPr>
          <w:rFonts w:ascii="Calibri" w:cs="Calibri" w:eastAsia="Calibri" w:hAnsi="Calibri"/>
          <w:b/>
          <w:bCs/>
          <w:color w:val="FFFFFF"/>
          <w:sz w:val="22"/>
          <w:szCs w:val="22"/>
        </w:rPr>
        <w:t xml:space="preserve">Capítulo 1: Introducción y Marco Normativo</w:t>
      </w:r>
    </w:p>
    <w:p>
      <w:pPr>
        <w:spacing w:after="110"/>
      </w:pPr>
      <w:r>
        <w:rPr>
          <w:rFonts w:ascii="Calibri" w:cs="Calibri" w:eastAsia="Calibri" w:hAnsi="Calibri"/>
          <w:sz w:val="20"/>
          <w:szCs w:val="20"/>
        </w:rPr>
        <w:t xml:space="preserve">El presente Manual de Cumplimiento en materia PLD/FT es adoptado por el Notario Titular en cumplimiento de las obligaciones establecidas en la LFPIORPI y su Reglamento reformado. Ha sido desarrollado por Certus Consultores a través del Programa Certus PLD, diseñado específicamente para notarías sujetas a la Fracción XII, Apartado A del artículo 17 de la LFPIORPI.</w:t>
      </w:r>
    </w:p>
    <w:p>
      <w:pPr>
        <w:spacing w:after="60" w:before="120"/>
      </w:pPr>
      <w:r>
        <w:rPr>
          <w:rFonts w:ascii="Calibri" w:cs="Calibri" w:eastAsia="Calibri" w:hAnsi="Calibri"/>
          <w:b/>
          <w:bCs/>
          <w:color w:val="0A1628"/>
          <w:sz w:val="19"/>
          <w:szCs w:val="19"/>
        </w:rPr>
        <w:t xml:space="preserve">1.1 Base legal</w:t>
      </w:r>
    </w:p>
    <w:p>
      <w:pPr>
        <w:pStyle w:val="ListParagraph"/>
        <w:numPr>
          <w:ilvl w:val="0"/>
          <w:numId w:val="1"/>
        </w:numPr>
        <w:spacing w:after="40"/>
      </w:pPr>
      <w:r>
        <w:rPr>
          <w:rFonts w:ascii="Calibri" w:cs="Calibri" w:eastAsia="Calibri" w:hAnsi="Calibri"/>
          <w:sz w:val="20"/>
          <w:szCs w:val="20"/>
        </w:rPr>
        <w:t xml:space="preserve">LFPIORPI — reforma DOF 16 de julio de 2025 (vigente desde el 17 de julio de 2025)</w:t>
      </w:r>
    </w:p>
    <w:p>
      <w:pPr>
        <w:pStyle w:val="ListParagraph"/>
        <w:numPr>
          <w:ilvl w:val="0"/>
          <w:numId w:val="1"/>
        </w:numPr>
        <w:spacing w:after="40"/>
      </w:pPr>
      <w:r>
        <w:rPr>
          <w:rFonts w:ascii="Calibri" w:cs="Calibri" w:eastAsia="Calibri" w:hAnsi="Calibri"/>
          <w:sz w:val="20"/>
          <w:szCs w:val="20"/>
        </w:rPr>
        <w:t xml:space="preserve">Reglamento de la LFPIORPI — reforma DOF 27 de marzo de 2026</w:t>
      </w:r>
    </w:p>
    <w:p>
      <w:pPr>
        <w:pStyle w:val="ListParagraph"/>
        <w:numPr>
          <w:ilvl w:val="0"/>
          <w:numId w:val="1"/>
        </w:numPr>
        <w:spacing w:after="40"/>
      </w:pPr>
      <w:r>
        <w:rPr>
          <w:rFonts w:ascii="Calibri" w:cs="Calibri" w:eastAsia="Calibri" w:hAnsi="Calibri"/>
          <w:sz w:val="20"/>
          <w:szCs w:val="20"/>
        </w:rPr>
        <w:t xml:space="preserve">Reglas de Carácter General emitidas por la SHCP (Art. 6, fr. VII, de la Ley) en materia PLD/FT — Acuerdo 115/2026 (DOF 07/08/2026)</w:t>
      </w:r>
    </w:p>
    <w:p>
      <w:pPr>
        <w:pStyle w:val="ListParagraph"/>
        <w:numPr>
          <w:ilvl w:val="0"/>
          <w:numId w:val="1"/>
        </w:numPr>
        <w:spacing w:after="40"/>
      </w:pPr>
      <w:r>
        <w:rPr>
          <w:rFonts w:ascii="Calibri" w:cs="Calibri" w:eastAsia="Calibri" w:hAnsi="Calibri"/>
          <w:sz w:val="20"/>
          <w:szCs w:val="20"/>
        </w:rPr>
        <w:t xml:space="preserve">Fracción aplicable: XII, Apartado A — servicios de fe pública notarial, incisos a) a e)</w:t>
      </w:r>
    </w:p>
    <w:p>
      <w:pPr>
        <w:shd w:fill="1F3864" w:val="clear"/>
        <w:spacing w:after="100" w:before="220"/>
      </w:pPr>
      <w:r>
        <w:rPr>
          <w:rFonts w:ascii="Calibri" w:cs="Calibri" w:eastAsia="Calibri" w:hAnsi="Calibri"/>
          <w:b/>
          <w:bCs/>
          <w:color w:val="FFFFFF"/>
          <w:sz w:val="22"/>
          <w:szCs w:val="22"/>
        </w:rPr>
        <w:t xml:space="preserve">Capítulo 2: Objeto y Alcance</w:t>
      </w:r>
    </w:p>
    <w:p>
      <w:pPr>
        <w:spacing w:after="110"/>
      </w:pPr>
      <w:r>
        <w:rPr>
          <w:rFonts w:ascii="Calibri" w:cs="Calibri" w:eastAsia="Calibri" w:hAnsi="Calibri"/>
          <w:sz w:val="20"/>
          <w:szCs w:val="20"/>
        </w:rPr>
        <w:t xml:space="preserve">Este Manual establece los procedimientos, políticas y controles internos que la Notaría implementa para prevenir, detectar y reportar actos que pudieran estar vinculados con el lavado de dinero o el financiamiento al terrorismo, en los actos que el Notario formalice conforme a los incisos a) a e) de la Fracción XII, Apartado A.</w:t>
      </w:r>
    </w:p>
    <w:p>
      <w:pPr>
        <w:spacing w:after="110"/>
      </w:pPr>
      <w:r>
        <w:rPr>
          <w:rFonts w:ascii="Calibri" w:cs="Calibri" w:eastAsia="Calibri" w:hAnsi="Calibri"/>
          <w:sz w:val="20"/>
          <w:szCs w:val="20"/>
        </w:rPr>
        <w:t xml:space="preserve">Supuestos que la Notaría no realiza (Art. 37 Bis 2 RCG). La Notaría hace constar que no formaliza actos de los siguientes incisos de la Fracción XII, Apartado A: [INCISOS QUE LA NOTARÍA NO FORMALIZA, O “NINGUNO”]. Para esos supuestos no se establecen políticas, criterios, medidas o procedimientos en este Manual. Si la Notaría decide formalizarlos, deberá establecer previamente las políticas respectivas en este Manual.</w:t>
      </w:r>
    </w:p>
    <w:p>
      <w:pPr>
        <w:shd w:fill="1F3864" w:val="clear"/>
        <w:spacing w:after="100" w:before="220"/>
      </w:pPr>
      <w:r>
        <w:rPr>
          <w:rFonts w:ascii="Calibri" w:cs="Calibri" w:eastAsia="Calibri" w:hAnsi="Calibri"/>
          <w:b/>
          <w:bCs/>
          <w:color w:val="FFFFFF"/>
          <w:sz w:val="22"/>
          <w:szCs w:val="22"/>
        </w:rPr>
        <w:t xml:space="preserve">Capítulo 3: Organización y Responsabilidades</w:t>
      </w:r>
    </w:p>
    <w:p>
      <w:pPr>
        <w:spacing w:after="110"/>
      </w:pPr>
      <w:r>
        <w:rPr>
          <w:rFonts w:ascii="Calibri" w:cs="Calibri" w:eastAsia="Calibri" w:hAnsi="Calibri"/>
          <w:sz w:val="20"/>
          <w:szCs w:val="20"/>
        </w:rPr>
        <w:t xml:space="preserve">A diferencia del régimen aplicable a personas morales, no existe un órgano de administración ni un Representante de Cumplimiento registrable ante la Secretaría. Conforme al artículo 20, último párrafo, LFPIORPI, el Notario Titular cumple personal y directamente con las obligaciones de este Manual (ver Constancia de Asunción Personal, D2-NOT).</w:t>
      </w:r>
    </w:p>
    <w:p>
      <w:pPr>
        <w:spacing w:after="60" w:before="120"/>
      </w:pPr>
      <w:r>
        <w:rPr>
          <w:rFonts w:ascii="Calibri" w:cs="Calibri" w:eastAsia="Calibri" w:hAnsi="Calibri"/>
          <w:b/>
          <w:bCs/>
          <w:color w:val="0A1628"/>
          <w:sz w:val="19"/>
          <w:szCs w:val="19"/>
        </w:rPr>
        <w:t xml:space="preserve">3.1 Notario Titular</w:t>
      </w:r>
    </w:p>
    <w:p>
      <w:pPr>
        <w:pStyle w:val="ListParagraph"/>
        <w:numPr>
          <w:ilvl w:val="0"/>
          <w:numId w:val="1"/>
        </w:numPr>
        <w:spacing w:after="40"/>
      </w:pPr>
      <w:r>
        <w:rPr>
          <w:rFonts w:ascii="Calibri" w:cs="Calibri" w:eastAsia="Calibri" w:hAnsi="Calibri"/>
          <w:sz w:val="20"/>
          <w:szCs w:val="20"/>
        </w:rPr>
        <w:t xml:space="preserve">Responsable personal y directo del cumplimiento de este Manual ante el SAT y ante la autoridad estatal competente sobre la fe pública.</w:t>
      </w:r>
    </w:p>
    <w:p>
      <w:pPr>
        <w:pStyle w:val="ListParagraph"/>
        <w:numPr>
          <w:ilvl w:val="0"/>
          <w:numId w:val="1"/>
        </w:numPr>
        <w:spacing w:after="40"/>
      </w:pPr>
      <w:r>
        <w:rPr>
          <w:rFonts w:ascii="Calibri" w:cs="Calibri" w:eastAsia="Calibri" w:hAnsi="Calibri"/>
          <w:sz w:val="20"/>
          <w:szCs w:val="20"/>
        </w:rPr>
        <w:t xml:space="preserve">Mantiene el registro vigente en el portal SPPLD.</w:t>
      </w:r>
    </w:p>
    <w:p>
      <w:pPr>
        <w:pStyle w:val="ListParagraph"/>
        <w:numPr>
          <w:ilvl w:val="0"/>
          <w:numId w:val="1"/>
        </w:numPr>
        <w:spacing w:after="40"/>
      </w:pPr>
      <w:r>
        <w:rPr>
          <w:rFonts w:ascii="Calibri" w:cs="Calibri" w:eastAsia="Calibri" w:hAnsi="Calibri"/>
          <w:sz w:val="20"/>
          <w:szCs w:val="20"/>
        </w:rPr>
        <w:t xml:space="preserve">Presenta los avisos correspondientes dentro de los plazos legales.</w:t>
      </w:r>
    </w:p>
    <w:p>
      <w:pPr>
        <w:spacing w:after="60" w:before="120"/>
      </w:pPr>
      <w:r>
        <w:rPr>
          <w:rFonts w:ascii="Calibri" w:cs="Calibri" w:eastAsia="Calibri" w:hAnsi="Calibri"/>
          <w:b/>
          <w:bCs/>
          <w:color w:val="0A1628"/>
          <w:sz w:val="19"/>
          <w:szCs w:val="19"/>
        </w:rPr>
        <w:t xml:space="preserve">3.2 Encargado Operativo interno (opcional — D2-NOT)</w:t>
      </w:r>
    </w:p>
    <w:p>
      <w:pPr>
        <w:pStyle w:val="ListParagraph"/>
        <w:numPr>
          <w:ilvl w:val="0"/>
          <w:numId w:val="1"/>
        </w:numPr>
        <w:spacing w:after="40"/>
      </w:pPr>
      <w:r>
        <w:rPr>
          <w:rFonts w:ascii="Calibri" w:cs="Calibri" w:eastAsia="Calibri" w:hAnsi="Calibri"/>
          <w:sz w:val="20"/>
          <w:szCs w:val="20"/>
        </w:rPr>
        <w:t xml:space="preserve">Auxilia en la integración de expedientes KYC, la aplicación de la Metodología EBR y el seguimiento de plazos de avisos, bajo la supervisión y responsabilidad personal del Notario Titular.</w:t>
      </w:r>
    </w:p>
    <w:p>
      <w:pPr>
        <w:shd w:fill="1F3864" w:val="clear"/>
        <w:spacing w:after="100" w:before="220"/>
      </w:pPr>
      <w:r>
        <w:rPr>
          <w:rFonts w:ascii="Calibri" w:cs="Calibri" w:eastAsia="Calibri" w:hAnsi="Calibri"/>
          <w:b/>
          <w:bCs/>
          <w:color w:val="FFFFFF"/>
          <w:sz w:val="22"/>
          <w:szCs w:val="22"/>
        </w:rPr>
        <w:t xml:space="preserve">Capítulo 4: Identificación y Conocimiento del Cliente (KYC)</w:t>
      </w:r>
    </w:p>
    <w:p>
      <w:pPr>
        <w:spacing w:after="110"/>
      </w:pPr>
      <w:r>
        <w:rPr>
          <w:rFonts w:ascii="Calibri" w:cs="Calibri" w:eastAsia="Calibri" w:hAnsi="Calibri"/>
          <w:sz w:val="20"/>
          <w:szCs w:val="20"/>
        </w:rPr>
        <w:t xml:space="preserve">Toda persona que comparezca a formalizar un acto ante la fe pública del Notario debe ser identificada ANTES de la formalización. Se integra un expediente KYC conforme al Documento D7-NOT.</w:t>
      </w:r>
    </w:p>
    <w:p>
      <w:pPr>
        <w:spacing w:after="60" w:before="120"/>
      </w:pPr>
      <w:r>
        <w:rPr>
          <w:rFonts w:ascii="Calibri" w:cs="Calibri" w:eastAsia="Calibri" w:hAnsi="Calibri"/>
          <w:b/>
          <w:bCs/>
          <w:color w:val="0A1628"/>
          <w:sz w:val="19"/>
          <w:szCs w:val="19"/>
        </w:rPr>
        <w:t xml:space="preserve">4.1 Umbrales de identificación y aviso (Fracción XII, Apartado A — UMA 2026: $117.31 MXN)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2500"/>
        <w:gridCol w:w="2550"/>
      </w:tblGrid>
      <w:tr>
        <w:trPr>
          <w:tblHeader/>
        </w:trPr>
        <w:tc>
          <w:tcPr>
            <w:tcW w:type="dxa" w:w="900"/>
            <w:shd w:fill="1F3864" w:val="clear"/>
            <w:tcMar>
              <w:top w:type="dxa" w:w="60"/>
              <w:left w:type="dxa" w:w="90"/>
              <w:bottom w:type="dxa" w:w="60"/>
              <w:right w:type="dxa" w:w="90"/>
            </w:tcMar>
            <w:vAlign w:val="center"/>
          </w:tcPr>
          <w:p>
            <w:r>
              <w:rPr>
                <w:rFonts w:ascii="Calibri" w:cs="Calibri" w:eastAsia="Calibri" w:hAnsi="Calibri"/>
                <w:b/>
                <w:bCs/>
                <w:color w:val="FFFFFF"/>
                <w:sz w:val="17"/>
                <w:szCs w:val="17"/>
              </w:rPr>
              <w:t xml:space="preserve">Inciso</w:t>
            </w:r>
          </w:p>
        </w:tc>
        <w:tc>
          <w:tcPr>
            <w:tcW w:type="dxa" w:w="3400"/>
            <w:shd w:fill="1F3864" w:val="clear"/>
            <w:tcMar>
              <w:top w:type="dxa" w:w="60"/>
              <w:left w:type="dxa" w:w="90"/>
              <w:bottom w:type="dxa" w:w="60"/>
              <w:right w:type="dxa" w:w="90"/>
            </w:tcMar>
            <w:vAlign w:val="center"/>
          </w:tcPr>
          <w:p>
            <w:r>
              <w:rPr>
                <w:rFonts w:ascii="Calibri" w:cs="Calibri" w:eastAsia="Calibri" w:hAnsi="Calibri"/>
                <w:b/>
                <w:bCs/>
                <w:color w:val="FFFFFF"/>
                <w:sz w:val="17"/>
                <w:szCs w:val="17"/>
              </w:rPr>
              <w:t xml:space="preserve">Acto</w:t>
            </w:r>
          </w:p>
        </w:tc>
        <w:tc>
          <w:tcPr>
            <w:tcW w:type="dxa" w:w="2500"/>
            <w:shd w:fill="1F3864" w:val="clear"/>
            <w:tcMar>
              <w:top w:type="dxa" w:w="60"/>
              <w:left w:type="dxa" w:w="90"/>
              <w:bottom w:type="dxa" w:w="60"/>
              <w:right w:type="dxa" w:w="90"/>
            </w:tcMar>
            <w:vAlign w:val="center"/>
          </w:tcPr>
          <w:p>
            <w:r>
              <w:rPr>
                <w:rFonts w:ascii="Calibri" w:cs="Calibri" w:eastAsia="Calibri" w:hAnsi="Calibri"/>
                <w:b/>
                <w:bCs/>
                <w:color w:val="FFFFFF"/>
                <w:sz w:val="17"/>
                <w:szCs w:val="17"/>
              </w:rPr>
              <w:t xml:space="preserve">Umbral de identificación</w:t>
            </w:r>
          </w:p>
        </w:tc>
        <w:tc>
          <w:tcPr>
            <w:tcW w:type="dxa" w:w="2550"/>
            <w:shd w:fill="1F3864" w:val="clear"/>
            <w:tcMar>
              <w:top w:type="dxa" w:w="60"/>
              <w:left w:type="dxa" w:w="90"/>
              <w:bottom w:type="dxa" w:w="60"/>
              <w:right w:type="dxa" w:w="90"/>
            </w:tcMar>
            <w:vAlign w:val="center"/>
          </w:tcPr>
          <w:p>
            <w:r>
              <w:rPr>
                <w:rFonts w:ascii="Calibri" w:cs="Calibri" w:eastAsia="Calibri" w:hAnsi="Calibri"/>
                <w:b/>
                <w:bCs/>
                <w:color w:val="FFFFFF"/>
                <w:sz w:val="17"/>
                <w:szCs w:val="17"/>
              </w:rPr>
              <w:t xml:space="preserve">Umbral de aviso</w:t>
            </w:r>
          </w:p>
        </w:tc>
      </w:tr>
      <w:tr>
        <w:tc>
          <w:tcPr>
            <w:tcW w:type="dxa" w:w="9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a)</w:t>
            </w:r>
          </w:p>
        </w:tc>
        <w:tc>
          <w:tcPr>
            <w:tcW w:type="dxa" w:w="34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Transmisión de inmuebles</w:t>
            </w:r>
          </w:p>
        </w:tc>
        <w:tc>
          <w:tcPr>
            <w:tcW w:type="dxa" w:w="25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SIEMPRE</w:t>
            </w:r>
          </w:p>
        </w:tc>
        <w:tc>
          <w:tcPr>
            <w:tcW w:type="dxa" w:w="255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8,000 UMA (~$938,480 MXN)</w:t>
            </w:r>
          </w:p>
        </w:tc>
      </w:tr>
      <w:tr>
        <w:tc>
          <w:tcPr>
            <w:tcW w:type="dxa" w:w="90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b)</w:t>
            </w:r>
          </w:p>
        </w:tc>
        <w:tc>
          <w:tcPr>
            <w:tcW w:type="dxa" w:w="340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Poder irrevocable</w:t>
            </w:r>
          </w:p>
        </w:tc>
        <w:tc>
          <w:tcPr>
            <w:tcW w:type="dxa" w:w="250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SIEMPRE</w:t>
            </w:r>
          </w:p>
        </w:tc>
        <w:tc>
          <w:tcPr>
            <w:tcW w:type="dxa" w:w="255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SIEMPRE (sin umbral)</w:t>
            </w:r>
          </w:p>
        </w:tc>
      </w:tr>
      <w:tr>
        <w:tc>
          <w:tcPr>
            <w:tcW w:type="dxa" w:w="9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c)</w:t>
            </w:r>
          </w:p>
        </w:tc>
        <w:tc>
          <w:tcPr>
            <w:tcW w:type="dxa" w:w="34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Sociedades / capital / fusión / acciones</w:t>
            </w:r>
          </w:p>
        </w:tc>
        <w:tc>
          <w:tcPr>
            <w:tcW w:type="dxa" w:w="25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SIEMPRE</w:t>
            </w:r>
          </w:p>
        </w:tc>
        <w:tc>
          <w:tcPr>
            <w:tcW w:type="dxa" w:w="255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SIEMPRE (sin umbral)</w:t>
            </w:r>
          </w:p>
        </w:tc>
      </w:tr>
      <w:tr>
        <w:tc>
          <w:tcPr>
            <w:tcW w:type="dxa" w:w="90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d)</w:t>
            </w:r>
          </w:p>
        </w:tc>
        <w:tc>
          <w:tcPr>
            <w:tcW w:type="dxa" w:w="340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Fideicomiso traslativo o de garantía</w:t>
            </w:r>
          </w:p>
        </w:tc>
        <w:tc>
          <w:tcPr>
            <w:tcW w:type="dxa" w:w="250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SIEMPRE</w:t>
            </w:r>
          </w:p>
        </w:tc>
        <w:tc>
          <w:tcPr>
            <w:tcW w:type="dxa" w:w="2550"/>
            <w:shd w:fill="F4F4F4"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4,000 UMA (~$469,240 MXN)</w:t>
            </w:r>
          </w:p>
        </w:tc>
      </w:tr>
      <w:tr>
        <w:tc>
          <w:tcPr>
            <w:tcW w:type="dxa" w:w="9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e)</w:t>
            </w:r>
          </w:p>
        </w:tc>
        <w:tc>
          <w:tcPr>
            <w:tcW w:type="dxa" w:w="34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Mutuo o crédito</w:t>
            </w:r>
          </w:p>
        </w:tc>
        <w:tc>
          <w:tcPr>
            <w:tcW w:type="dxa" w:w="250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SIEMPRE</w:t>
            </w:r>
          </w:p>
        </w:tc>
        <w:tc>
          <w:tcPr>
            <w:tcW w:type="dxa" w:w="2550"/>
            <w:shd w:fill="FFFFFF" w:val="clear"/>
            <w:tcMar>
              <w:top w:type="dxa" w:w="60"/>
              <w:left w:type="dxa" w:w="90"/>
              <w:bottom w:type="dxa" w:w="60"/>
              <w:right w:type="dxa" w:w="90"/>
            </w:tcMar>
            <w:vAlign w:val="center"/>
          </w:tcPr>
          <w:p>
            <w:r>
              <w:rPr>
                <w:rFonts w:ascii="Calibri" w:cs="Calibri" w:eastAsia="Calibri" w:hAnsi="Calibri"/>
                <w:b w:val="false"/>
                <w:bCs w:val="false"/>
                <w:sz w:val="17"/>
                <w:szCs w:val="17"/>
              </w:rPr>
              <w:t xml:space="preserve">SIEMPRE (sin umbral)</w:t>
            </w:r>
          </w:p>
        </w:tc>
      </w:tr>
    </w:tbl>
    <w:p>
      <w:pPr>
        <w:shd w:fill="1F3864" w:val="clear"/>
        <w:spacing w:after="100" w:before="220"/>
      </w:pPr>
      <w:r>
        <w:rPr>
          <w:rFonts w:ascii="Calibri" w:cs="Calibri" w:eastAsia="Calibri" w:hAnsi="Calibri"/>
          <w:b/>
          <w:bCs/>
          <w:color w:val="FFFFFF"/>
          <w:sz w:val="22"/>
          <w:szCs w:val="22"/>
        </w:rPr>
        <w:t xml:space="preserve">Capítulo 5: Enfoque Basado en Riesgo (EBR)</w:t>
      </w:r>
    </w:p>
    <w:p>
      <w:pPr>
        <w:spacing w:after="110"/>
      </w:pPr>
      <w:r>
        <w:rPr>
          <w:rFonts w:ascii="Calibri" w:cs="Calibri" w:eastAsia="Calibri" w:hAnsi="Calibri"/>
          <w:sz w:val="20"/>
          <w:szCs w:val="20"/>
        </w:rPr>
        <w:t xml:space="preserve">La Notaría clasifica a sus clientes en tres niveles de riesgo (BAJO, MEDIO, ALTO) utilizando la Metodología EBR del Documento D6-NOT. Factores evaluados: perfil del cliente, origen de fondos o del bien, tipo de acto notarial, monto, zona geográfica y vínculo con PEP's.</w:t>
      </w:r>
    </w:p>
    <w:p>
      <w:pPr>
        <w:spacing w:after="110"/>
      </w:pPr>
      <w:r>
        <w:rPr>
          <w:rFonts w:ascii="Calibri" w:cs="Calibri" w:eastAsia="Calibri" w:hAnsi="Calibri"/>
          <w:sz w:val="20"/>
          <w:szCs w:val="20"/>
        </w:rPr>
        <w:t xml:space="preserve">Medidas de debida diligencia por Grado de Riesgo. Riesgo bajo: medidas simplificadas (Art. 17 RCG), con los datos mínimos de los Anexos, siempre que este Manual documente los criterios que justifican la clasificación. Riesgo medio: expediente de identificación completo conforme al Art. 12 RCG (Art. 17 Bis RCG). Riesgo alto: debida diligencia reforzada (Arts. 23 Ter 3 y 23 Ter 4 RCG): mayor información sobre el origen y destino de los recursos, cuestionario de identificación reforzada y monitoreo más estricto; si el cliente es además PEP, el Notario Titular deja constancia firmada de los motivos considerados (Art. 23 Ter 5 RCG). El Grado de Riesgo se reevalúa cuando menos cada seis meses (Art. 23 Bis 1 RCG).</w:t>
      </w:r>
    </w:p>
    <w:p>
      <w:pPr>
        <w:shd w:fill="1F3864" w:val="clear"/>
        <w:spacing w:after="100" w:before="220"/>
      </w:pPr>
      <w:r>
        <w:rPr>
          <w:rFonts w:ascii="Calibri" w:cs="Calibri" w:eastAsia="Calibri" w:hAnsi="Calibri"/>
          <w:b/>
          <w:bCs/>
          <w:color w:val="FFFFFF"/>
          <w:sz w:val="22"/>
          <w:szCs w:val="22"/>
        </w:rPr>
        <w:t xml:space="preserve">Capítulo 6: Personas Expuestas Políticamente (PEP's) y Beneficiario Controlador</w:t>
      </w:r>
    </w:p>
    <w:p>
      <w:pPr>
        <w:spacing w:after="110"/>
      </w:pPr>
      <w:r>
        <w:rPr>
          <w:rFonts w:ascii="Calibri" w:cs="Calibri" w:eastAsia="Calibri" w:hAnsi="Calibri"/>
          <w:sz w:val="20"/>
          <w:szCs w:val="20"/>
        </w:rPr>
        <w:t xml:space="preserve">Se considera PEP a la persona física que desempeña o ha desempeñado funciones públicas prominentes en territorio nacional o en el extranjero, así como a su cónyuge, concubina o concubinario, parientes por consanguinidad o afinidad hasta el segundo grado, y a los socios o asociados con quienes mantenga vínculos patrimoniales (Art. 23 Quáter RCG). La calidad de PEP se conserva durante el año siguiente a aquel en que la persona dejó el cargo. Ver Política de PEP's, Documento D8 (aplicable sin modificación a la variante notarial).</w:t>
      </w:r>
    </w:p>
    <w:p>
      <w:pPr>
        <w:spacing w:after="110"/>
      </w:pPr>
      <w:r>
        <w:rPr>
          <w:rFonts w:ascii="Calibri" w:cs="Calibri" w:eastAsia="Calibri" w:hAnsi="Calibri"/>
          <w:sz w:val="20"/>
          <w:szCs w:val="20"/>
        </w:rPr>
        <w:t xml:space="preserve">Beneficiario Controlador (Art. 18, fr. III, de la Ley): cuando el cliente sea persona moral, fideicomiso u otra figura jurídica, el Notario recaba los documentos que permitan identificar a su Beneficiario Controlador; cuando sea persona física, recaba la declaración acerca de si tiene o no conocimiento de la existencia de un Beneficiario Controlador y, en su caso, la documentación que permita identificarlo — ver Sección E del Documento D7-NOT.</w:t>
      </w:r>
    </w:p>
    <w:p>
      <w:pPr>
        <w:spacing w:after="110"/>
      </w:pPr>
      <w:r>
        <w:rPr>
          <w:rFonts w:ascii="Calibri" w:cs="Calibri" w:eastAsia="Calibri" w:hAnsi="Calibri"/>
          <w:sz w:val="20"/>
          <w:szCs w:val="20"/>
        </w:rPr>
        <w:t xml:space="preserve">Orden de prelación para identificar al Beneficiario Controlador (Art. 23 Quinquies RCG): (i) la persona o personas físicas que tengan el 25% o más del capital social; (ii) si no existe, quien controle a la persona moral por otros medios; (iii) en último término, el funcionario administrativo de mayor grado. En fideicomisos se aplica el Art. 23 Quinquies 1. No se exige la identificación del Beneficiario Controlador en los supuestos de exención del Art. 23 Quinquies 2 RCG (entre otros, quienes cotizan en bolsa y las personas morales de los Anexos 4 Bis, 6 Bis, 7-A y 7 Bis-A). La evidencia del procedimiento se integra en la Sección E del D7-NOT.</w:t>
      </w:r>
    </w:p>
    <w:p>
      <w:pPr>
        <w:shd w:fill="1F3864" w:val="clear"/>
        <w:spacing w:after="100" w:before="220"/>
      </w:pPr>
      <w:r>
        <w:rPr>
          <w:rFonts w:ascii="Calibri" w:cs="Calibri" w:eastAsia="Calibri" w:hAnsi="Calibri"/>
          <w:b/>
          <w:bCs/>
          <w:color w:val="FFFFFF"/>
          <w:sz w:val="22"/>
          <w:szCs w:val="22"/>
        </w:rPr>
        <w:t xml:space="preserve">Capítulo 7: Operaciones Inusuales</w:t>
      </w:r>
    </w:p>
    <w:p>
      <w:pPr>
        <w:spacing w:after="110"/>
      </w:pPr>
      <w:r>
        <w:rPr>
          <w:rFonts w:ascii="Calibri" w:cs="Calibri" w:eastAsia="Calibri" w:hAnsi="Calibri"/>
          <w:sz w:val="20"/>
          <w:szCs w:val="20"/>
        </w:rPr>
        <w:t xml:space="preserve">El catálogo de señales de alerta específicas por inciso, así como el procedimiento de reporte interno y presentación del Aviso dentro de las 24 horas siguientes a la detección, se encuentra en el Documento D9-NOT.</w:t>
      </w:r>
    </w:p>
    <w:p>
      <w:pPr>
        <w:shd w:fill="1F3864" w:val="clear"/>
        <w:spacing w:after="100" w:before="220"/>
      </w:pPr>
      <w:r>
        <w:rPr>
          <w:rFonts w:ascii="Calibri" w:cs="Calibri" w:eastAsia="Calibri" w:hAnsi="Calibri"/>
          <w:b/>
          <w:bCs/>
          <w:color w:val="FFFFFF"/>
          <w:sz w:val="22"/>
          <w:szCs w:val="22"/>
        </w:rPr>
        <w:t xml:space="preserve">Capítulo 8: Restricción de Pagos en Efectivo</w:t>
      </w:r>
    </w:p>
    <w:p>
      <w:pPr>
        <w:spacing w:after="110"/>
      </w:pPr>
      <w:r>
        <w:rPr>
          <w:rFonts w:ascii="Calibri" w:cs="Calibri" w:eastAsia="Calibri" w:hAnsi="Calibri"/>
          <w:sz w:val="20"/>
          <w:szCs w:val="20"/>
        </w:rPr>
        <w:t xml:space="preserve">Conforme al artículo 32, fracción I de la LFPIORPI, está PROHIBIDO aceptar pagos en efectivo para la constitución o transmisión de derechos reales sobre inmuebles por un valor igual o superior a 8,025 veces el valor diario de la UMA (~$941,413 MXN 2026) — umbral distinto y ligeramente superior al umbral de aviso del inciso a) de la Fracción XII (8,000 UMA), por tratarse de una obligación de un artículo diferente.</w:t>
      </w:r>
    </w:p>
    <w:p>
      <w:pPr>
        <w:spacing w:after="110"/>
      </w:pPr>
      <w:r>
        <w:rPr>
          <w:rFonts w:ascii="Calibri" w:cs="Calibri" w:eastAsia="Calibri" w:hAnsi="Calibri"/>
          <w:sz w:val="20"/>
          <w:szCs w:val="20"/>
        </w:rPr>
        <w:t xml:space="preserve">Adicionalmente, conforme al artículo 33, primer párrafo, la persona depositaria de fe pública debe identificar la forma en que se paguen las obligaciones derivadas de los instrumentos en que haga constar actos del artículo 32, cuando la operación tenga un valor igual o superior a 8,025 UMA; si el valor es inferior y el acto fue pagado total o parcialmente antes de la firma, basta la declaración bajo protesta de decir verdad de las personas Clientes o Usuarias (segundo párrafo). El deber de especificar la forma de pago y anexar el comprobante respectivo corresponde a los demás actos de las fracciones II a VII del artículo 32 (tercer párrafo), no a los de la fracción I.</w:t>
      </w:r>
    </w:p>
    <w:p>
      <w:pPr>
        <w:shd w:fill="1F3864" w:val="clear"/>
        <w:spacing w:after="100" w:before="220"/>
      </w:pPr>
      <w:r>
        <w:rPr>
          <w:rFonts w:ascii="Calibri" w:cs="Calibri" w:eastAsia="Calibri" w:hAnsi="Calibri"/>
          <w:b/>
          <w:bCs/>
          <w:color w:val="FFFFFF"/>
          <w:sz w:val="22"/>
          <w:szCs w:val="22"/>
        </w:rPr>
        <w:t xml:space="preserve">Capítulo 9: Presentación de Avisos ante el SAT</w:t>
      </w:r>
    </w:p>
    <w:p>
      <w:pPr>
        <w:spacing w:after="110"/>
      </w:pPr>
      <w:r>
        <w:rPr>
          <w:rFonts w:ascii="Calibri" w:cs="Calibri" w:eastAsia="Calibri" w:hAnsi="Calibri"/>
          <w:sz w:val="20"/>
          <w:szCs w:val="20"/>
        </w:rPr>
        <w:t xml:space="preserve">Los avisos se presentan a más tardar el día 17 del mes inmediato siguiente a aquel en que se realizó el acto, conforme al artículo 23. El control mensual de actos y avisos, así como el procedimiento de informe en ceros, se documenta en el Documento D12-NOT. El registro inicial ante el portal SPPLD se documenta en el Documento D3-NOT.</w:t>
      </w:r>
    </w:p>
    <w:p>
      <w:pPr>
        <w:shd w:fill="1F3864" w:val="clear"/>
        <w:spacing w:after="100" w:before="220"/>
      </w:pPr>
      <w:r>
        <w:rPr>
          <w:rFonts w:ascii="Calibri" w:cs="Calibri" w:eastAsia="Calibri" w:hAnsi="Calibri"/>
          <w:b/>
          <w:bCs/>
          <w:color w:val="FFFFFF"/>
          <w:sz w:val="22"/>
          <w:szCs w:val="22"/>
        </w:rPr>
        <w:t xml:space="preserve">Capítulo 10: Resguardo Documental</w:t>
      </w:r>
    </w:p>
    <w:p>
      <w:pPr>
        <w:spacing w:after="110"/>
      </w:pPr>
      <w:r>
        <w:rPr>
          <w:rFonts w:ascii="Calibri" w:cs="Calibri" w:eastAsia="Calibri" w:hAnsi="Calibri"/>
          <w:sz w:val="20"/>
          <w:szCs w:val="20"/>
        </w:rPr>
        <w:t xml:space="preserve">Aplica sin modificación estructural la Política de Resguardo Documental, Documento D10 — plazo de conservación de 10 años conforme al artículo 18, fracción IV.</w:t>
      </w:r>
    </w:p>
    <w:p>
      <w:pPr>
        <w:shd w:fill="1F3864" w:val="clear"/>
        <w:spacing w:after="100" w:before="220"/>
      </w:pPr>
      <w:r>
        <w:rPr>
          <w:rFonts w:ascii="Calibri" w:cs="Calibri" w:eastAsia="Calibri" w:hAnsi="Calibri"/>
          <w:b/>
          <w:bCs/>
          <w:color w:val="FFFFFF"/>
          <w:sz w:val="22"/>
          <w:szCs w:val="22"/>
        </w:rPr>
        <w:t xml:space="preserve">Capítulo 11: Capacitación</w:t>
      </w:r>
    </w:p>
    <w:p>
      <w:pPr>
        <w:spacing w:after="110"/>
      </w:pPr>
      <w:r>
        <w:rPr>
          <w:rFonts w:ascii="Calibri" w:cs="Calibri" w:eastAsia="Calibri" w:hAnsi="Calibri"/>
          <w:sz w:val="20"/>
          <w:szCs w:val="20"/>
        </w:rPr>
        <w:t xml:space="preserve">Aplica el Programa Anual de Capacitación, Documento D11, actualizando los ejemplos y casos prácticos al contexto notarial (D11B/D11C).</w:t>
      </w:r>
    </w:p>
    <w:p>
      <w:pPr>
        <w:shd w:fill="1F3864" w:val="clear"/>
        <w:spacing w:after="100" w:before="220"/>
      </w:pPr>
      <w:r>
        <w:rPr>
          <w:rFonts w:ascii="Calibri" w:cs="Calibri" w:eastAsia="Calibri" w:hAnsi="Calibri"/>
          <w:b/>
          <w:bCs/>
          <w:color w:val="FFFFFF"/>
          <w:sz w:val="22"/>
          <w:szCs w:val="22"/>
        </w:rPr>
        <w:t xml:space="preserve">Capítulo 12: Auditoría Interna</w:t>
      </w:r>
    </w:p>
    <w:p>
      <w:pPr>
        <w:spacing w:after="110"/>
      </w:pPr>
      <w:r>
        <w:rPr>
          <w:rFonts w:ascii="Calibri" w:cs="Calibri" w:eastAsia="Calibri" w:hAnsi="Calibri"/>
          <w:sz w:val="20"/>
          <w:szCs w:val="20"/>
        </w:rPr>
        <w:t xml:space="preserve">Aplica sin modificación estructural el esquema de Auditoría Interna, Documento D13, conforme al artículo 18, fracción XI.</w:t>
      </w:r>
    </w:p>
    <w:p>
      <w:pPr>
        <w:spacing w:after="110"/>
      </w:pPr>
      <w:r>
        <w:rPr>
          <w:rFonts w:ascii="Calibri" w:cs="Calibri" w:eastAsia="Calibri" w:hAnsi="Calibri"/>
          <w:sz w:val="20"/>
          <w:szCs w:val="20"/>
        </w:rPr>
        <w:t xml:space="preserve">La auditoría es anual, por año calendario (Art. 18, fr. XI, de la Ley; Arts. 42 a 51 RCG) y evalúa y dictamina la efectividad del cumplimiento de la Ley, su Reglamento y las RCG. Cuando el Riesgo de la Notaría sea bajo o medio, puede realizarla un área de auditoría interna independiente o una persona auditora externa independiente; cuando sea alto, una persona auditora externa independiente con título y cédula en derecho, contaduría, finanzas, administración o informática, al menos tres años de experiencia en la materia y certificación vigente de la UIF. Si la Notaría no cuenta con un área de auditoría interna independiente del Notario Titular, la revisión se encomienda a una persona auditora externa. El dictamen se estructura en siete secciones (presentación, objeto, volumen y muestreo, proceso de auditoría, hallazgos, resultados de cumplimiento y acciones correctivas) y califica cada obligación como Cumple, Cumple mayoritariamente, Cumple parcialmente, No cumple o No aplica.</w:t>
      </w:r>
    </w:p>
    <w:p>
      <w:pPr>
        <w:shd w:fill="1F3864" w:val="clear"/>
        <w:spacing w:after="100" w:before="220"/>
      </w:pPr>
      <w:r>
        <w:rPr>
          <w:rFonts w:ascii="Calibri" w:cs="Calibri" w:eastAsia="Calibri" w:hAnsi="Calibri"/>
          <w:b/>
          <w:bCs/>
          <w:color w:val="FFFFFF"/>
          <w:sz w:val="22"/>
          <w:szCs w:val="22"/>
        </w:rPr>
        <w:t xml:space="preserve">Capítulo 13: Perfil Transaccional y Sistema de Alertas</w:t>
      </w:r>
    </w:p>
    <w:p>
      <w:pPr>
        <w:spacing w:after="110"/>
      </w:pPr>
      <w:r>
        <w:rPr>
          <w:rFonts w:ascii="Calibri" w:cs="Calibri" w:eastAsia="Calibri" w:hAnsi="Calibri"/>
          <w:sz w:val="20"/>
          <w:szCs w:val="20"/>
        </w:rPr>
        <w:t xml:space="preserve">La Notaría determina el Perfil Transaccional inicial de cada Cliente o Usuaria con base en la información que proporcione sobre los montos, frecuencia y tipo de actos que estima realizar (Art. 23 Ter 1 RCG), y lo incorpora a un sistema de alertas que permite detectar comportamientos que se aparten de lo esperado y que pudieran vincularse con los delitos de los artículos 139 Quáter o 400 Bis del Código Penal Federal (Art. 23 Ter 2 RCG). El Perfil Transaccional se reevalúa cuando menos cada seis meses. Toda alerta se documenta conforme al Documento D9-NOT.</w:t>
      </w:r>
    </w:p>
    <w:p>
      <w:pPr>
        <w:shd w:fill="1F3864" w:val="clear"/>
        <w:spacing w:after="100" w:before="220"/>
      </w:pPr>
      <w:r>
        <w:rPr>
          <w:rFonts w:ascii="Calibri" w:cs="Calibri" w:eastAsia="Calibri" w:hAnsi="Calibri"/>
          <w:b/>
          <w:bCs/>
          <w:color w:val="FFFFFF"/>
          <w:sz w:val="22"/>
          <w:szCs w:val="22"/>
        </w:rPr>
        <w:t xml:space="preserve">Capítulo 14: Seguimiento y Acumulación de Actos u Operaciones</w:t>
      </w:r>
    </w:p>
    <w:p>
      <w:pPr>
        <w:spacing w:after="110"/>
      </w:pPr>
      <w:r>
        <w:rPr>
          <w:rFonts w:ascii="Calibri" w:cs="Calibri" w:eastAsia="Calibri" w:hAnsi="Calibri"/>
          <w:sz w:val="20"/>
          <w:szCs w:val="20"/>
        </w:rPr>
        <w:t xml:space="preserve">La Notaría da seguimiento y acumula los actos u operaciones que, en lo individual, realice cada Cliente o Usuaria, en periodos de hasta seis meses contados a partir del primer acto (Art. 19 RCG; Art. 17, penúltimo párrafo, de la Ley), para determinar si en conjunto alcanzan el umbral de aviso. Conforme al Art. 19 RCG, la acumulación aplica a los incisos a), c) y d) de la Fracción XII, Apartado A; no aplica a los incisos b) y e).</w:t>
      </w:r>
    </w:p>
    <w:p>
      <w:pPr>
        <w:shd w:fill="1F3864" w:val="clear"/>
        <w:spacing w:after="100" w:before="220"/>
      </w:pPr>
      <w:r>
        <w:rPr>
          <w:rFonts w:ascii="Calibri" w:cs="Calibri" w:eastAsia="Calibri" w:hAnsi="Calibri"/>
          <w:b/>
          <w:bCs/>
          <w:color w:val="FFFFFF"/>
          <w:sz w:val="22"/>
          <w:szCs w:val="22"/>
        </w:rPr>
        <w:t xml:space="preserve">Capítulo 15: Identificación de Personas en Listas de Autoridades</w:t>
      </w:r>
    </w:p>
    <w:p>
      <w:pPr>
        <w:spacing w:after="110"/>
      </w:pPr>
      <w:r>
        <w:rPr>
          <w:rFonts w:ascii="Calibri" w:cs="Calibri" w:eastAsia="Calibri" w:hAnsi="Calibri"/>
          <w:sz w:val="20"/>
          <w:szCs w:val="20"/>
        </w:rPr>
        <w:t xml:space="preserve">La Notaría incorpora procedimientos para identificar a las personas incluidas en las listas que emitan autoridades nacionales u organismos internacionales y que dé a conocer la UIF (Art. 38 RCG), a fin de evitar el uso de recursos para el financiamiento de organizaciones delictivas u otras actividades ilícitas. Cuando la persona con quien se realice o intente realizar un acto esté en esas listas, se presenta Aviso dentro del plazo de 24 horas de los Arts. 26 Bis y 26 Bis 1 RCG (Art. 27 RCG).</w:t>
      </w:r>
    </w:p>
    <w:p>
      <w:pPr>
        <w:shd w:fill="1F3864" w:val="clear"/>
        <w:spacing w:after="100" w:before="220"/>
      </w:pPr>
      <w:r>
        <w:rPr>
          <w:rFonts w:ascii="Calibri" w:cs="Calibri" w:eastAsia="Calibri" w:hAnsi="Calibri"/>
          <w:b/>
          <w:bCs/>
          <w:color w:val="FFFFFF"/>
          <w:sz w:val="22"/>
          <w:szCs w:val="22"/>
        </w:rPr>
        <w:t xml:space="preserve">Capítulo 16: Confidencialidad</w:t>
      </w:r>
    </w:p>
    <w:p>
      <w:pPr>
        <w:spacing w:after="110"/>
      </w:pPr>
      <w:r>
        <w:rPr>
          <w:rFonts w:ascii="Calibri" w:cs="Calibri" w:eastAsia="Calibri" w:hAnsi="Calibri"/>
          <w:sz w:val="20"/>
          <w:szCs w:val="20"/>
        </w:rPr>
        <w:t xml:space="preserve">El Notario Titular y el personal de la Notaría mantienen absoluta confidencialidad sobre la información, documentación y actos u operaciones relacionados con el cumplimiento de la Ley, incluida la relativa al Beneficiario Controlador y a los Avisos presentados (Arts. 31 RCG y 50 de la Ley). Queda prohibido alertar al cliente o a terceros sobre cualquier referencia hecha en un Aviso, sobre requerimientos de información recibidos o sobre órdenes de aseguramiento antes de su ejecución; revelar sin autorización la vinculación de una persona con un Aviso o requerimiento constituye el delito del Art. 63, fr. II, de la Ley. La presentación de Avisos no vulnera el secreto profesional ni la confidencialidad (Art. 22 de la Ley).</w:t>
      </w:r>
    </w:p>
    <w:p>
      <w:pPr>
        <w:shd w:fill="1F3864" w:val="clear"/>
        <w:spacing w:after="100" w:before="220"/>
      </w:pPr>
      <w:r>
        <w:rPr>
          <w:rFonts w:ascii="Calibri" w:cs="Calibri" w:eastAsia="Calibri" w:hAnsi="Calibri"/>
          <w:b/>
          <w:bCs/>
          <w:color w:val="FFFFFF"/>
          <w:sz w:val="22"/>
          <w:szCs w:val="22"/>
        </w:rPr>
        <w:t xml:space="preserve">Capítulo 17: Identificación de Quien Solicita Materialmente la Protocolización</w:t>
      </w:r>
    </w:p>
    <w:p>
      <w:pPr>
        <w:spacing w:after="110"/>
      </w:pPr>
      <w:r>
        <w:rPr>
          <w:rFonts w:ascii="Calibri" w:cs="Calibri" w:eastAsia="Calibri" w:hAnsi="Calibri"/>
          <w:sz w:val="20"/>
          <w:szCs w:val="20"/>
        </w:rPr>
        <w:t xml:space="preserve">Con independencia de la identificación de las partes, el Notario identifica, al momento de realizar el acto, a la persona que solicite materialmente la protocolización o formalización del instrumento público, recabando la información del Anexo 3, inciso a), numerales i), ii), ix) y x), de las RCG (Art. 13 RCG). Este dato se registra en el expediente KYC (D7-NOT).</w:t>
      </w:r>
    </w:p>
    <w:p>
      <w:pPr>
        <w:shd w:fill="1F3864" w:val="clear"/>
        <w:spacing w:after="100" w:before="220"/>
      </w:pPr>
      <w:r>
        <w:rPr>
          <w:rFonts w:ascii="Calibri" w:cs="Calibri" w:eastAsia="Calibri" w:hAnsi="Calibri"/>
          <w:b/>
          <w:bCs/>
          <w:color w:val="FFFFFF"/>
          <w:sz w:val="22"/>
          <w:szCs w:val="22"/>
        </w:rPr>
        <w:t xml:space="preserve">Capítulo 18: Fe Pública Prestada al Poder Judicial o a Autoridades Administrativas</w:t>
      </w:r>
    </w:p>
    <w:p>
      <w:pPr>
        <w:spacing w:after="110"/>
      </w:pPr>
      <w:r>
        <w:rPr>
          <w:rFonts w:ascii="Calibri" w:cs="Calibri" w:eastAsia="Calibri" w:hAnsi="Calibri"/>
          <w:sz w:val="20"/>
          <w:szCs w:val="20"/>
        </w:rPr>
        <w:t xml:space="preserve">Cuando la Notaría preste servicios de fe pública al Poder Judicial de la Federación, de los Estados o de la Ciudad de México, o a autoridades administrativas en ejercicio de sus funciones de administración e impartición de justicia, integra el expediente único de identificación únicamente con los datos del Anexo 7 Bis de las RCG (Art. 13 Bis RCG).</w:t>
      </w:r>
    </w:p>
    <w:p>
      <w:pPr>
        <w:shd w:fill="1F3864" w:val="clear"/>
        <w:spacing w:after="100" w:before="220"/>
      </w:pPr>
      <w:r>
        <w:rPr>
          <w:rFonts w:ascii="Calibri" w:cs="Calibri" w:eastAsia="Calibri" w:hAnsi="Calibri"/>
          <w:b/>
          <w:bCs/>
          <w:color w:val="FFFFFF"/>
          <w:sz w:val="22"/>
          <w:szCs w:val="22"/>
        </w:rPr>
        <w:t xml:space="preserve">Capítulo 19: Criterios para Apertura, Limitación y Terminación de Relaciones Comerciales</w:t>
      </w:r>
    </w:p>
    <w:p>
      <w:pPr>
        <w:spacing w:after="110"/>
      </w:pPr>
      <w:r>
        <w:rPr>
          <w:rFonts w:ascii="Calibri" w:cs="Calibri" w:eastAsia="Calibri" w:hAnsi="Calibri"/>
          <w:sz w:val="20"/>
          <w:szCs w:val="20"/>
        </w:rPr>
        <w:t xml:space="preserve">En congruencia con la Metodología EBR (Art. 37, tercer párrafo, RCG), la Notaría se abstiene de formalizar el acto o de continuar la relación cuando: (i) el cliente se niegue a proporcionar la información o documentación necesaria para su identificación (Art. 21 de la Ley, sin responsabilidad alguna); (ii) el Grado de Riesgo resultante sea inaceptable conforme a los criterios del Documento D6-NOT; o (iii) se detecten señales de alerta que el cliente no pueda aclarar razonablemente. Toda abstención, limitación o terminación se documenta y conserva en el expediente.</w:t>
      </w:r>
    </w:p>
    <w:p>
      <w:pPr>
        <w:shd w:fill="1F3864" w:val="clear"/>
        <w:spacing w:after="100" w:before="220"/>
      </w:pPr>
      <w:r>
        <w:rPr>
          <w:rFonts w:ascii="Calibri" w:cs="Calibri" w:eastAsia="Calibri" w:hAnsi="Calibri"/>
          <w:b/>
          <w:bCs/>
          <w:color w:val="FFFFFF"/>
          <w:sz w:val="22"/>
          <w:szCs w:val="22"/>
        </w:rPr>
        <w:t xml:space="preserve">Capítulo 20: Mecanismos Automatizados</w:t>
      </w:r>
    </w:p>
    <w:p>
      <w:pPr>
        <w:spacing w:after="110"/>
      </w:pPr>
      <w:r>
        <w:rPr>
          <w:rFonts w:ascii="Calibri" w:cs="Calibri" w:eastAsia="Calibri" w:hAnsi="Calibri"/>
          <w:sz w:val="20"/>
          <w:szCs w:val="20"/>
        </w:rPr>
        <w:t xml:space="preserve">Conforme al Art. 41 RCG, la Notaría cuenta con mecanismos automatizados —adecuados a su volumen, naturaleza y Riesgo— que permiten: conservar y consultar los expedientes de identificación; agrupar y monitorear los actos u operaciones de cada cliente; alimentar la Metodología EBR; ejecutar el modelo de clasificación de Grado de Riesgo conservando su historial; operar el sistema de alertas; y dar seguimiento al uso de efectivo y metales preciosos. Pueden ser hojas de cálculo o bases de datos siempre que cumplan esas funciones y sean verificables (Art. 3, fr. XI Ter, RCG).</w:t>
      </w:r>
    </w:p>
    <w:p>
      <w:pPr>
        <w:shd w:fill="1F3864" w:val="clear"/>
        <w:spacing w:after="100" w:before="220"/>
      </w:pPr>
      <w:r>
        <w:rPr>
          <w:rFonts w:ascii="Calibri" w:cs="Calibri" w:eastAsia="Calibri" w:hAnsi="Calibri"/>
          <w:b/>
          <w:bCs/>
          <w:color w:val="FFFFFF"/>
          <w:sz w:val="22"/>
          <w:szCs w:val="22"/>
        </w:rPr>
        <w:t xml:space="preserve">Capítulo 21: Selección y Capacitación del Personal</w:t>
      </w:r>
    </w:p>
    <w:p>
      <w:pPr>
        <w:spacing w:after="110"/>
      </w:pPr>
      <w:r>
        <w:rPr>
          <w:rFonts w:ascii="Calibri" w:cs="Calibri" w:eastAsia="Calibri" w:hAnsi="Calibri"/>
          <w:sz w:val="20"/>
          <w:szCs w:val="20"/>
        </w:rPr>
        <w:t xml:space="preserve">La Notaría aplica procedimientos de selección del personal que tenga relación directa con las partes, con declaración firmada conforme al Art. 39 Bis 2 RCG, y lo capacita conforme al Programa Anual del Documento D11 (Art. 39 Bis RCG). La evidencia se conserva por 10 años.</w:t>
      </w:r>
    </w:p>
    <w:p>
      <w:pPr>
        <w:shd w:fill="1F3864" w:val="clear"/>
        <w:spacing w:after="100" w:before="220"/>
      </w:pPr>
      <w:r>
        <w:rPr>
          <w:rFonts w:ascii="Calibri" w:cs="Calibri" w:eastAsia="Calibri" w:hAnsi="Calibri"/>
          <w:b/>
          <w:bCs/>
          <w:color w:val="FFFFFF"/>
          <w:sz w:val="22"/>
          <w:szCs w:val="22"/>
        </w:rPr>
        <w:t xml:space="preserve">Capítulo 22: Sanciones Aplicables</w:t>
      </w:r>
    </w:p>
    <w:p>
      <w:pPr>
        <w:spacing w:after="110"/>
      </w:pPr>
      <w:r>
        <w:rPr>
          <w:rFonts w:ascii="Calibri" w:cs="Calibri" w:eastAsia="Calibri" w:hAnsi="Calibri"/>
          <w:sz w:val="20"/>
          <w:szCs w:val="20"/>
        </w:rPr>
        <w:t xml:space="preserve">Incumplir las obligaciones del artículo 18, o presentar el aviso extemporáneamente dentro de los 30 días siguientes al plazo (Art. 53, fraccs. II y III), se sanciona con 200 a 2,000 UMA (Art. 54, fr. I). La multa por omisión de avisos o por participar en operaciones con efectivo prohibidas (Art. 53, fraccs. VI y VII), conforme al artículo 54, fracción III, va de 10,000 a 65,000 UMA, o del 10% al 100% del valor del acto — lo que resulte mayor. Art. 55: el beneficio de actuación espontánea permite que la Secretaría se abstenga de sancionar por única ocasión o, si ya se ejerció, reduzca hasta 50% las multas.</w:t>
      </w:r>
    </w:p>
    <w:p>
      <w:pPr>
        <w:spacing w:after="110"/>
      </w:pPr>
      <w:r>
        <w:rPr>
          <w:rFonts w:ascii="Calibri" w:cs="Calibri" w:eastAsia="Calibri" w:hAnsi="Calibri"/>
          <w:sz w:val="20"/>
          <w:szCs w:val="20"/>
        </w:rPr>
        <w:t xml:space="preserve">A diferencia del régimen inmobiliario, el incumplimiento notarial puede además activar, conforme al artículo 58, un procedimiento ante la autoridad estatal competente sobre la fe pública cuando la Secretaría determina la existencia de "notorias deficiencias", con las consecuencias que determine la Ley del Notariado aplicable. Ver Documento D0-NOT.</w:t>
      </w:r>
    </w:p>
    <w:p>
      <w:pPr>
        <w:shd w:fill="1F3864" w:val="clear"/>
        <w:spacing w:after="100" w:before="220"/>
      </w:pPr>
      <w:r>
        <w:rPr>
          <w:rFonts w:ascii="Calibri" w:cs="Calibri" w:eastAsia="Calibri" w:hAnsi="Calibri"/>
          <w:b/>
          <w:bCs/>
          <w:color w:val="FFFFFF"/>
          <w:sz w:val="22"/>
          <w:szCs w:val="22"/>
        </w:rPr>
        <w:t xml:space="preserve">Capítulo 23: Actualización del Manual</w:t>
      </w:r>
    </w:p>
    <w:p>
      <w:pPr>
        <w:spacing w:after="110"/>
      </w:pPr>
      <w:r>
        <w:rPr>
          <w:rFonts w:ascii="Calibri" w:cs="Calibri" w:eastAsia="Calibri" w:hAnsi="Calibri"/>
          <w:sz w:val="20"/>
          <w:szCs w:val="20"/>
        </w:rPr>
        <w:t xml:space="preserve">Este Manual se revisa con periodicidad anual y cada vez que se publique una reforma a la LFPIORPI, su Reglamento o las Reglas de Carácter General aplicables.</w:t>
      </w:r>
    </w:p>
    <w:p>
      <w:pPr>
        <w:shd w:fill="1F3864" w:val="clear"/>
        <w:spacing w:after="100" w:before="220"/>
      </w:pPr>
      <w:r>
        <w:rPr>
          <w:rFonts w:ascii="Calibri" w:cs="Calibri" w:eastAsia="Calibri" w:hAnsi="Calibri"/>
          <w:b/>
          <w:bCs/>
          <w:color w:val="FFFFFF"/>
          <w:sz w:val="22"/>
          <w:szCs w:val="22"/>
        </w:rPr>
        <w:t xml:space="preserve">Capítulo 24: Glosario</w:t>
      </w:r>
    </w:p>
    <w:p>
      <w:pPr>
        <w:pStyle w:val="ListParagraph"/>
        <w:numPr>
          <w:ilvl w:val="0"/>
          <w:numId w:val="1"/>
        </w:numPr>
        <w:spacing w:after="40"/>
      </w:pPr>
      <w:r>
        <w:rPr>
          <w:rFonts w:ascii="Calibri" w:cs="Calibri" w:eastAsia="Calibri" w:hAnsi="Calibri"/>
          <w:sz w:val="20"/>
          <w:szCs w:val="20"/>
        </w:rPr>
        <w:t xml:space="preserve">LFPIORPI: Ley Federal para la Prevención e Identificación de Operaciones con Recursos de Procedencia Ilícita.</w:t>
      </w:r>
    </w:p>
    <w:p>
      <w:pPr>
        <w:pStyle w:val="ListParagraph"/>
        <w:numPr>
          <w:ilvl w:val="0"/>
          <w:numId w:val="1"/>
        </w:numPr>
        <w:spacing w:after="40"/>
      </w:pPr>
      <w:r>
        <w:rPr>
          <w:rFonts w:ascii="Calibri" w:cs="Calibri" w:eastAsia="Calibri" w:hAnsi="Calibri"/>
          <w:sz w:val="20"/>
          <w:szCs w:val="20"/>
        </w:rPr>
        <w:t xml:space="preserve">UMA: Unidad de Medida y Actualización.</w:t>
      </w:r>
    </w:p>
    <w:p>
      <w:pPr>
        <w:pStyle w:val="ListParagraph"/>
        <w:numPr>
          <w:ilvl w:val="0"/>
          <w:numId w:val="1"/>
        </w:numPr>
        <w:spacing w:after="40"/>
      </w:pPr>
      <w:r>
        <w:rPr>
          <w:rFonts w:ascii="Calibri" w:cs="Calibri" w:eastAsia="Calibri" w:hAnsi="Calibri"/>
          <w:sz w:val="20"/>
          <w:szCs w:val="20"/>
        </w:rPr>
        <w:t xml:space="preserve">PLD/FT: Prevención de Lavado de Dinero y Financiamiento al Terrorismo.</w:t>
      </w:r>
    </w:p>
    <w:p>
      <w:pPr>
        <w:pStyle w:val="ListParagraph"/>
        <w:numPr>
          <w:ilvl w:val="0"/>
          <w:numId w:val="1"/>
        </w:numPr>
        <w:spacing w:after="40"/>
      </w:pPr>
      <w:r>
        <w:rPr>
          <w:rFonts w:ascii="Calibri" w:cs="Calibri" w:eastAsia="Calibri" w:hAnsi="Calibri"/>
          <w:sz w:val="20"/>
          <w:szCs w:val="20"/>
        </w:rPr>
        <w:t xml:space="preserve">Beneficiario Controlador: persona física que en última instancia obtiene el beneficio o ejerce el control efectivo del acto u operación.</w:t>
      </w:r>
    </w:p>
    <w:p>
      <w:pPr>
        <w:pStyle w:val="ListParagraph"/>
        <w:numPr>
          <w:ilvl w:val="0"/>
          <w:numId w:val="1"/>
        </w:numPr>
        <w:spacing w:after="40"/>
      </w:pPr>
      <w:r>
        <w:rPr>
          <w:rFonts w:ascii="Calibri" w:cs="Calibri" w:eastAsia="Calibri" w:hAnsi="Calibri"/>
          <w:sz w:val="20"/>
          <w:szCs w:val="20"/>
        </w:rPr>
        <w:t xml:space="preserve">SPPLD: Sistema/Portal de Prevención de Lavado de Dinero del SAT.</w:t>
      </w:r>
    </w:p>
    <w:p/>
    <w:p>
      <w:pPr>
        <w:pBdr>
          <w:top w:val="single" w:color="B08D57" w:sz="4" w:space="4"/>
        </w:pBdr>
        <w:spacing w:before="200"/>
      </w:pPr>
      <w:r>
        <w:rPr>
          <w:rFonts w:ascii="Calibri" w:cs="Calibri" w:eastAsia="Calibri" w:hAnsi="Calibri"/>
          <w:color w:val="808080"/>
          <w:sz w:val="16"/>
          <w:szCs w:val="16"/>
        </w:rPr>
        <w:t xml:space="preserve">CERTUS CONSULTORES  |  Certus PLD  |  Mérida, Yucatán  |  999 163 1363</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2026-09-09T01:37:42.627Z</dcterms:created>
  <dcterms:modified xsi:type="dcterms:W3CDTF">2026-09-09T01:37:42.627Z</dcterms:modified>
</cp:coreProperties>
</file>

<file path=docProps/custom.xml><?xml version="1.0" encoding="utf-8"?>
<Properties xmlns="http://schemas.openxmlformats.org/officeDocument/2006/custom-properties" xmlns:vt="http://schemas.openxmlformats.org/officeDocument/2006/docPropsVTypes"/>
</file>