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D5-COR </w:t>
            </w:r>
            <w:r>
              <w:rPr>
                <w:rFonts w:ascii="Calibri" w:cs="Calibri" w:eastAsia="Calibri" w:hAnsi="Calibri"/>
                <w:b/>
                <w:bCs/>
                <w:color w:val="FFFFFF"/>
                <w:sz w:val="22"/>
                <w:szCs w:val="22"/>
              </w:rPr>
              <w:t xml:space="preserve">Manual de Políticas Internas PLD/FT — Corredurías Públicas</w:t>
            </w:r>
          </w:p>
          <w:p>
            <w:pPr>
              <w:spacing w:before="40"/>
            </w:pPr>
            <w:r>
              <w:rPr>
                <w:rFonts w:ascii="Calibri" w:cs="Calibri" w:eastAsia="Calibri" w:hAnsi="Calibri"/>
                <w:color w:val="D9D9D9"/>
                <w:sz w:val="18"/>
                <w:szCs w:val="18"/>
              </w:rPr>
              <w:t xml:space="preserve">Correduría: [Denominación de la Correduría]   │   Variante: Correduría Pública — Fracción XII, Apartado B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Correduría:</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[Denominación de la Correduría]</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Corredor Público Titular:</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[Nombre del Corredor Público Titular]</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Versión:</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[VERSION] — [Fecha de adopción] │ Plantilla Certus PLD, edición octubre 2026 (Acuerdo 115/2026; Capítulo X RCG)</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Aprobó:</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[Corredor Público Titular]</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Elaboró:</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Certus Consultores │ Certus PLD</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Vigencia:</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Un año a partir de la fecha de adopción — revisión anual obligatoria</w:t>
            </w:r>
          </w:p>
        </w:tc>
      </w:tr>
    </w:tbl>
    <w:p/>
    <w:p>
      <w:pPr>
        <w:spacing w:after="110"/>
      </w:pPr>
      <w:r>
        <w:rPr>
          <w:rFonts w:ascii="Calibri" w:cs="Calibri" w:eastAsia="Calibri" w:hAnsi="Calibri"/>
          <w:i/>
          <w:iCs/>
          <w:sz w:val="18"/>
          <w:szCs w:val="18"/>
        </w:rPr>
        <w:t xml:space="preserve">Índice de capítulos: 1. Introducción y marco normativo │ 2. Objeto y alcance │ 3. Organización y responsabilidades │ 4. Identificación y conocimiento del cliente (KYC) │ 5. Enfoque Basado en Riesgo (EBR) │ 6. Personas Expuestas Políticamente (PEP's) y Beneficiario Controlador │ 7. Operaciones inusuales │ 8. Restricción de pagos en efectivo y forma de pago │ 9. Presentación de avisos ante el SAT │ 10. Resguardo documental │ 11. Capacitación │ 12. Auditoría │ 13. Perfil transaccional y alertas │ 14. Seguimiento de actos (sin acumulación) │ 15. Listas de autoridades │ 16. Confidencialidad │ 17. Solicitante material de la formalización │ 18. Fe pública al Poder Judicial (Art. 13 Bis) │ 19. Apertura, limitación y terminación de relaciones │ 20. Mecanismos automatizados │ 21. Selección y capacitación del personal │ 22. Sanciones aplicables │ 23. Actualización del Manual │ 24. Glosario</w:t>
      </w:r>
      <w:r>
        <w:rPr>
          <w:rFonts w:ascii="Calibri" w:cs="Calibri" w:eastAsia="Calibri" w:hAnsi="Calibri"/>
          <w:i/>
          <w:iCs/>
          <w:sz w:val="18"/>
          <w:szCs w:val="18"/>
        </w:rPr>
        <w:t xml:space="preserve"> │ Anexos: A. Correspondencia con el Art. 37 Bis │ B. Cuestionario de Identificación Reforzada │ C. Descripción Operativa │ D. Control de versiones y difusión</w:t>
      </w:r>
    </w:p>
    <w:p>
      <w:pPr>
        <w:shd w:fill="1F3864" w:val="clear"/>
        <w:spacing w:after="100" w:before="220"/>
      </w:pPr>
      <w:r>
        <w:rPr>
          <w:rFonts w:ascii="Calibri" w:cs="Calibri" w:eastAsia="Calibri" w:hAnsi="Calibri"/>
          <w:b/>
          <w:bCs/>
          <w:color w:val="FFFFFF"/>
          <w:sz w:val="22"/>
          <w:szCs w:val="22"/>
        </w:rPr>
        <w:t xml:space="preserve">Capítulo 1: Introducción y Marco Normativo</w:t>
      </w:r>
    </w:p>
    <w:p>
      <w:pPr>
        <w:spacing w:after="110"/>
      </w:pPr>
      <w:r>
        <w:rPr>
          <w:rFonts w:ascii="Calibri" w:cs="Calibri" w:eastAsia="Calibri" w:hAnsi="Calibri"/>
          <w:sz w:val="20"/>
          <w:szCs w:val="20"/>
        </w:rPr>
        <w:t xml:space="preserve">El presente Manual de Políticas Internas en materia PLD/FT es adoptado por el Corredor Público Titular en cumplimiento de las obligaciones establecidas en la LFPIORPI, su Reglamento y las Reglas de Carácter General. Ha sido desarrollado por Certus Consultores a través del Programa Certus PLD, diseñado específicamente para corredores públicos sujetos a la Fracción XII, Apartado B, del artículo 17 de la LFPIORPI.</w:t>
      </w:r>
    </w:p>
    <w:p>
      <w:pPr>
        <w:spacing w:after="60" w:before="120"/>
      </w:pPr>
      <w:r>
        <w:rPr>
          <w:rFonts w:ascii="Calibri" w:cs="Calibri" w:eastAsia="Calibri" w:hAnsi="Calibri"/>
          <w:b/>
          <w:bCs/>
          <w:color w:val="0A1628"/>
          <w:sz w:val="19"/>
          <w:szCs w:val="19"/>
        </w:rPr>
        <w:t xml:space="preserve">1.1 Base legal</w:t>
      </w:r>
    </w:p>
    <w:p>
      <w:pPr>
        <w:pStyle w:val="ListParagraph"/>
        <w:numPr>
          <w:ilvl w:val="0"/>
          <w:numId w:val="1"/>
        </w:numPr>
        <w:spacing w:after="40"/>
      </w:pPr>
      <w:r>
        <w:rPr>
          <w:rFonts w:ascii="Calibri" w:cs="Calibri" w:eastAsia="Calibri" w:hAnsi="Calibri"/>
          <w:sz w:val="20"/>
          <w:szCs w:val="20"/>
        </w:rPr>
        <w:t xml:space="preserve">LFPIORPI — reforma DOF 16 de julio de 2025 (vigente desde el 17 de julio de 2025)</w:t>
      </w:r>
    </w:p>
    <w:p>
      <w:pPr>
        <w:pStyle w:val="ListParagraph"/>
        <w:numPr>
          <w:ilvl w:val="0"/>
          <w:numId w:val="1"/>
        </w:numPr>
        <w:spacing w:after="40"/>
      </w:pPr>
      <w:r>
        <w:rPr>
          <w:rFonts w:ascii="Calibri" w:cs="Calibri" w:eastAsia="Calibri" w:hAnsi="Calibri"/>
          <w:sz w:val="20"/>
          <w:szCs w:val="20"/>
        </w:rPr>
        <w:t xml:space="preserve">Reglamento de la LFPIORPI — reforma DOF 27 de marzo de 2026 (art. 29: avalúos realizados con fe pública)</w:t>
      </w:r>
    </w:p>
    <w:p>
      <w:pPr>
        <w:pStyle w:val="ListParagraph"/>
        <w:numPr>
          <w:ilvl w:val="0"/>
          <w:numId w:val="1"/>
        </w:numPr>
        <w:spacing w:after="40"/>
      </w:pPr>
      <w:r>
        <w:rPr>
          <w:rFonts w:ascii="Calibri" w:cs="Calibri" w:eastAsia="Calibri" w:hAnsi="Calibri"/>
          <w:sz w:val="20"/>
          <w:szCs w:val="20"/>
        </w:rPr>
        <w:t xml:space="preserve">Reglas de Carácter General emitidas por la SHCP (Art. 6, fr. VII, de la Ley) en materia PLD/FT — Acuerdo 115/2026 (DOF 07/08/2026)</w:t>
      </w:r>
    </w:p>
    <w:p>
      <w:pPr>
        <w:pStyle w:val="ListParagraph"/>
        <w:numPr>
          <w:ilvl w:val="0"/>
          <w:numId w:val="1"/>
        </w:numPr>
        <w:spacing w:after="40"/>
      </w:pPr>
      <w:r>
        <w:rPr>
          <w:rFonts w:ascii="Calibri" w:cs="Calibri" w:eastAsia="Calibri" w:hAnsi="Calibri"/>
          <w:sz w:val="20"/>
          <w:szCs w:val="20"/>
        </w:rPr>
        <w:t xml:space="preserve">Ley Federal de Correduría Pública y su Reglamento — alcance de la fe pública del corredor y autoridad supervisora para efectos del artículo 58 de la LFPIORPI</w:t>
      </w:r>
    </w:p>
    <w:p>
      <w:pPr>
        <w:pStyle w:val="ListParagraph"/>
        <w:numPr>
          <w:ilvl w:val="0"/>
          <w:numId w:val="1"/>
        </w:numPr>
        <w:spacing w:after="40"/>
      </w:pPr>
      <w:r>
        <w:rPr>
          <w:rFonts w:ascii="Calibri" w:cs="Calibri" w:eastAsia="Calibri" w:hAnsi="Calibri"/>
          <w:sz w:val="20"/>
          <w:szCs w:val="20"/>
        </w:rPr>
        <w:t xml:space="preserve">Fracción aplicable: XII, Apartado B — servicios de fe pública de corredores públicos, incisos a) a d)</w:t>
      </w:r>
    </w:p>
    <w:p>
      <w:pPr>
        <w:spacing w:after="60" w:before="120"/>
      </w:pPr>
      <w:r>
        <w:rPr>
          <w:rFonts w:ascii="Calibri" w:cs="Calibri" w:eastAsia="Calibri" w:hAnsi="Calibri"/>
          <w:b/>
          <w:bCs/>
          <w:color w:val="0A1628"/>
          <w:sz w:val="19"/>
          <w:szCs w:val="19"/>
        </w:rPr>
        <w:t xml:space="preserve">1.2 Calendario de exigibilidad del Acuerdo 115/2026</w:t>
      </w:r>
    </w:p>
    <w:p>
      <w:pPr>
        <w:pStyle w:val="ListParagraph"/>
        <w:numPr>
          <w:ilvl w:val="0"/>
          <w:numId w:val="1"/>
        </w:numPr>
        <w:spacing w:after="40"/>
      </w:pPr>
      <w:r>
        <w:rPr>
          <w:rFonts w:ascii="Calibri" w:cs="Calibri" w:eastAsia="Calibri" w:hAnsi="Calibri"/>
          <w:sz w:val="20"/>
          <w:szCs w:val="20"/>
        </w:rPr>
        <w:t xml:space="preserve">Entrada en vigor general: 30 de noviembre de 2026.</w:t>
      </w:r>
    </w:p>
    <w:p>
      <w:pPr>
        <w:pStyle w:val="ListParagraph"/>
        <w:numPr>
          <w:ilvl w:val="0"/>
          <w:numId w:val="1"/>
        </w:numPr>
        <w:spacing w:after="40"/>
      </w:pPr>
      <w:r>
        <w:rPr>
          <w:rFonts w:ascii="Calibri" w:cs="Calibri" w:eastAsia="Calibri" w:hAnsi="Calibri"/>
          <w:sz w:val="20"/>
          <w:szCs w:val="20"/>
        </w:rPr>
        <w:t xml:space="preserve">Evaluación con enfoque basado en riesgo y Manual con su metodología, a disposición de la autoridad: 1 de marzo de 2027.</w:t>
      </w:r>
    </w:p>
    <w:p>
      <w:pPr>
        <w:pStyle w:val="ListParagraph"/>
        <w:numPr>
          <w:ilvl w:val="0"/>
          <w:numId w:val="1"/>
        </w:numPr>
        <w:spacing w:after="40"/>
      </w:pPr>
      <w:r>
        <w:rPr>
          <w:rFonts w:ascii="Calibri" w:cs="Calibri" w:eastAsia="Calibri" w:hAnsi="Calibri"/>
          <w:sz w:val="20"/>
          <w:szCs w:val="20"/>
        </w:rPr>
        <w:t xml:space="preserve">Clasificación del Grado de Riesgo, conocimiento del cliente (perfil transaccional) y Beneficiario Controlador conforme a los Capítulos III Bis, III Ter y III Quinquies de las RCG: actos realizados a partir del 1 de marzo de 2027.</w:t>
      </w:r>
    </w:p>
    <w:p>
      <w:pPr>
        <w:pStyle w:val="ListParagraph"/>
        <w:numPr>
          <w:ilvl w:val="0"/>
          <w:numId w:val="1"/>
        </w:numPr>
        <w:spacing w:after="40"/>
      </w:pPr>
      <w:r>
        <w:rPr>
          <w:rFonts w:ascii="Calibri" w:cs="Calibri" w:eastAsia="Calibri" w:hAnsi="Calibri"/>
          <w:sz w:val="20"/>
          <w:szCs w:val="20"/>
        </w:rPr>
        <w:t xml:space="preserve">Mecanismos automatizados: a más tardar el 1 de junio de 2027. Primer periodo anual de capacitación: año 2027. Primer periodo de auditoría: año 2028.</w:t>
      </w:r>
    </w:p>
    <w:p>
      <w:pPr>
        <w:keepNext/>
        <w:spacing w:after="60" w:before="120"/>
      </w:pPr>
      <w:r>
        <w:rPr>
          <w:rFonts w:ascii="Calibri" w:cs="Calibri" w:eastAsia="Calibri" w:hAnsi="Calibri"/>
          <w:b/>
          <w:bCs/>
          <w:color w:val="0A1628"/>
          <w:sz w:val="19"/>
          <w:szCs w:val="19"/>
        </w:rPr>
        <w:t xml:space="preserve">1.3 Naturaleza, contenido y documentos que integran este Manual</w:t>
      </w:r>
    </w:p>
    <w:p>
      <w:pPr>
        <w:spacing w:after="110"/>
      </w:pPr>
      <w:r>
        <w:rPr>
          <w:rFonts w:ascii="Calibri" w:cs="Calibri" w:eastAsia="Calibri" w:hAnsi="Calibri"/>
          <w:sz w:val="20"/>
          <w:szCs w:val="20"/>
        </w:rPr>
        <w:t xml:space="preserve">Este documento es el Manual de Políticas Internas a que se refieren el Art. 2, fracción XI Bis, y el Capítulo X (Arts. 37 a 37 Bis 3) de las RCG. Contiene, por lo menos, los catorce rubros del Art. 37 Bis, así como el procedimiento y los criterios para la apertura, limitación o terminación de relaciones comerciales (Art. 37, tercer párrafo). El Anexo A relaciona cada rubro con el capítulo o documento que lo desarrolla.</w:t>
      </w:r>
    </w:p>
    <w:p>
      <w:pPr>
        <w:spacing w:after="110"/>
      </w:pPr>
      <w:r>
        <w:rPr>
          <w:rFonts w:ascii="Calibri" w:cs="Calibri" w:eastAsia="Calibri" w:hAnsi="Calibri"/>
          <w:sz w:val="20"/>
          <w:szCs w:val="20"/>
        </w:rPr>
        <w:t xml:space="preserve">Conforme al Art. 37, segundo párrafo, RCG, los documentos del Programa Certus PLD a los que remite este Manual (D6-COR Metodología EBR, D7-COR Expediente de identificación, D8-COR Política de PEP's, D9-COR Operaciones inusuales, D10-COR Resguardo documental, D11-COR/D11B-COR/D11C-COR Capacitación, D12-COR Control de Avisos y D13-COR Auditoría) forman parte integrante de él; se conservan identificados con su versión y fecha junto con este Manual, y se ponen a disposición de la UIF o del SAT cuando lo requieran.</w:t>
      </w:r>
    </w:p>
    <w:p>
      <w:pPr>
        <w:spacing w:after="110"/>
      </w:pPr>
      <w:r>
        <w:rPr>
          <w:rFonts w:ascii="Calibri" w:cs="Calibri" w:eastAsia="Calibri" w:hAnsi="Calibri"/>
          <w:sz w:val="20"/>
          <w:szCs w:val="20"/>
        </w:rPr>
        <w:t xml:space="preserve">Plazo: el Manual debe existir a los noventa días naturales del alta y registro (Art. 37 RCG). Quien ya estaba registrado antes de la entrada en vigor del Acuerdo 115/2026 debe contar con él, incluida la metodología de evaluación de Riesgos, a partir del 1 de marzo de 2027 (Transitorio Tercero).</w:t>
      </w:r>
    </w:p>
    <w:p>
      <w:pPr>
        <w:spacing w:after="110"/>
      </w:pPr>
      <w:r>
        <w:rPr>
          <w:rFonts w:ascii="Calibri" w:cs="Calibri" w:eastAsia="Calibri" w:hAnsi="Calibri"/>
          <w:sz w:val="20"/>
          <w:szCs w:val="20"/>
        </w:rPr>
        <w:t xml:space="preserve">Correspondencia con la operación real: este Manual debe reflejar la forma en que la Correduría efectivamente lleva a cabo sus actos. Antes de su adopción, y cada vez que cambie la operación, el Corredor Público Titular llena y firma la Descripción Operativa del Anexo C; las políticas de este Manual se aplican conforme a esa descripción.</w:t>
      </w:r>
    </w:p>
    <w:p>
      <w:pPr>
        <w:spacing w:after="110"/>
      </w:pPr>
      <w:r>
        <w:rPr>
          <w:rFonts w:ascii="Calibri" w:cs="Calibri" w:eastAsia="Calibri" w:hAnsi="Calibri"/>
          <w:i/>
          <w:iCs/>
          <w:color w:val="666666"/>
          <w:sz w:val="19"/>
          <w:szCs w:val="19"/>
        </w:rPr>
        <w:t xml:space="preserve">Los parámetros y plazos marcados como "criterio del Programa" no están fijados por la regulación; son mínimos recomendados por Certus PLD que el sujeto obligado puede ajustar con base en los resultados de su metodología, siempre que lo documente en este Manual.</w:t>
      </w:r>
    </w:p>
    <w:p>
      <w:pPr>
        <w:shd w:fill="1F3864" w:val="clear"/>
        <w:spacing w:after="100" w:before="220"/>
      </w:pPr>
      <w:r>
        <w:rPr>
          <w:rFonts w:ascii="Calibri" w:cs="Calibri" w:eastAsia="Calibri" w:hAnsi="Calibri"/>
          <w:b/>
          <w:bCs/>
          <w:color w:val="FFFFFF"/>
          <w:sz w:val="22"/>
          <w:szCs w:val="22"/>
        </w:rPr>
        <w:t xml:space="preserve">Capítulo 2: Objeto y Alcance</w:t>
      </w:r>
    </w:p>
    <w:p>
      <w:pPr>
        <w:spacing w:after="110"/>
      </w:pPr>
      <w:r>
        <w:rPr>
          <w:rFonts w:ascii="Calibri" w:cs="Calibri" w:eastAsia="Calibri" w:hAnsi="Calibri"/>
          <w:sz w:val="20"/>
          <w:szCs w:val="20"/>
        </w:rPr>
        <w:t xml:space="preserve">Este Manual establece los procedimientos, políticas y controles internos que la Correduría implementa para prevenir, detectar y reportar actos que pudieran estar vinculados con el lavado de dinero o el financiamiento al terrorismo, en los actos que el Corredor formalice conforme a los incisos a) a d) de la Fracción XII, Apartado B.</w:t>
      </w:r>
    </w:p>
    <w:p>
      <w:pPr>
        <w:spacing w:after="110"/>
      </w:pPr>
      <w:r>
        <w:rPr>
          <w:rFonts w:ascii="Calibri" w:cs="Calibri" w:eastAsia="Calibri" w:hAnsi="Calibri"/>
          <w:b/>
          <w:sz w:val="20"/>
          <w:szCs w:val="20"/>
        </w:rPr>
        <w:t xml:space="preserve">Supuestos que la Correduría no realiza (Art. 37 Bis 2 RCG).</w:t>
      </w:r>
      <w:r>
        <w:rPr>
          <w:rFonts w:ascii="Calibri" w:cs="Calibri" w:eastAsia="Calibri" w:hAnsi="Calibri"/>
          <w:b w:val="0"/>
          <w:sz w:val="20"/>
          <w:szCs w:val="20"/>
        </w:rPr>
        <w:t xml:space="preserve"> La Correduría hace constar que no formaliza actos de los siguientes incisos de la Fracción XII, Apartado B: [INCISOS QUE LA CORREDURÍA NO FORMALIZA, O “NINGUNO”]. Para esos supuestos no se establecen políticas, criterios, medidas o procedimientos en este Manual. Si la Correduría decide formalizarlos, deberá establecer previamente las políticas respectivas en este Manual.</w:t>
      </w:r>
    </w:p>
    <w:p>
      <w:pPr>
        <w:spacing w:after="110"/>
      </w:pPr>
      <w:r>
        <w:rPr>
          <w:rFonts w:ascii="Calibri" w:cs="Calibri" w:eastAsia="Calibri" w:hAnsi="Calibri"/>
          <w:b/>
          <w:sz w:val="20"/>
          <w:szCs w:val="20"/>
        </w:rPr>
        <w:t xml:space="preserve">Actos fuera de la fe pública del Corredor.</w:t>
      </w:r>
      <w:r>
        <w:rPr>
          <w:rFonts w:ascii="Calibri" w:cs="Calibri" w:eastAsia="Calibri" w:hAnsi="Calibri"/>
          <w:b w:val="0"/>
          <w:sz w:val="20"/>
          <w:szCs w:val="20"/>
        </w:rPr>
        <w:t xml:space="preserve"> La Correduría no formaliza actos sobre inmuebles ni hace constar poderes distintos de la representación orgánica de las sociedades (art. 6, frs. V y VI, de la Ley Federal de Correduría Pública); las solicitudes de esa naturaleza se declinan. Los avalúos que el Corredor emita sin utilizar la fe pública no se ubican en el inciso a) (art. 29 del Reglamento), circunstancia que se documenta en el expediente.</w:t>
      </w:r>
    </w:p>
    <w:p>
      <w:pPr>
        <w:keepNext/>
        <w:spacing w:after="60" w:before="120"/>
      </w:pPr>
      <w:r>
        <w:rPr>
          <w:rFonts w:ascii="Calibri" w:cs="Calibri" w:eastAsia="Calibri" w:hAnsi="Calibri"/>
          <w:b/>
          <w:bCs/>
          <w:color w:val="0A1628"/>
          <w:sz w:val="19"/>
          <w:szCs w:val="19"/>
        </w:rPr>
        <w:t xml:space="preserve">2.1 Nuevos productos, servicios, canales o tipos de clientes (Art. 10 Septies, tercer párrafo, RCG)</w:t>
      </w:r>
    </w:p>
    <w:p>
      <w:pPr>
        <w:spacing w:after="110"/>
      </w:pPr>
      <w:r>
        <w:rPr>
          <w:rFonts w:ascii="Calibri" w:cs="Calibri" w:eastAsia="Calibri" w:hAnsi="Calibri"/>
          <w:sz w:val="20"/>
          <w:szCs w:val="20"/>
        </w:rPr>
        <w:t xml:space="preserve">Antes de ofrecer nuevos medios, canales, modalidades, productos o servicios, o de dirigir su actividad a nuevos tipos de Clientes o Usuarias (por ejemplo, actos u operaciones a distancia, clientes extranjeros, o nuevas fracciones, incisos o líneas de servicio), la Correduría: (i) evalúa por escrito los Riesgos asociados con los elementos de la sección de evaluación de Riesgos de este Manual; (ii) define los Mitigantes; (iii) actualiza este Manual y la Metodología EBR; y (iv) obtiene la aprobación del Corredor Público Titular. La evaluación se conserva por diez años.</w:t>
      </w:r>
    </w:p>
    <w:p>
      <w:pPr>
        <w:keepNext/>
        <w:spacing w:after="60" w:before="120"/>
      </w:pPr>
      <w:r>
        <w:rPr>
          <w:rFonts w:ascii="Calibri" w:cs="Calibri" w:eastAsia="Calibri" w:hAnsi="Calibri"/>
          <w:b/>
          <w:bCs/>
          <w:color w:val="0A1628"/>
          <w:sz w:val="19"/>
          <w:szCs w:val="19"/>
        </w:rPr>
        <w:t xml:space="preserve">2.2 Actos u operaciones por medios electrónicos (Art. 18 RCG)</w:t>
      </w:r>
    </w:p>
    <w:p>
      <w:pPr>
        <w:spacing w:after="110"/>
      </w:pPr>
      <w:r>
        <w:rPr>
          <w:rFonts w:ascii="Calibri" w:cs="Calibri" w:eastAsia="Calibri" w:hAnsi="Calibri"/>
          <w:sz w:val="20"/>
          <w:szCs w:val="20"/>
        </w:rPr>
        <w:t xml:space="preserve">Si la Correduría realiza actos u operaciones a través de medios electrónicos, ópticos o de cualquier otra tecnología, integra el expediente de identificación antes del acto; identifica al Cliente o Usuaria mediante la verificación de su identificación oficial y de su rostro, y la validación de sus datos con las fuentes oficiales disponibles; y aplica controles contra el uso indebido de esos medios (credenciales personales, bitácora de accesos y conservación de la evidencia de identificación en el expediente). Si no los realiza, lo hace constar como supuesto no realizado (Art. 37 Bis 2 RCG).</w:t>
      </w:r>
    </w:p>
    <w:p>
      <w:pPr>
        <w:shd w:fill="1F3864" w:val="clear"/>
        <w:spacing w:after="100" w:before="220"/>
      </w:pPr>
      <w:r>
        <w:rPr>
          <w:rFonts w:ascii="Calibri" w:cs="Calibri" w:eastAsia="Calibri" w:hAnsi="Calibri"/>
          <w:b/>
          <w:bCs/>
          <w:color w:val="FFFFFF"/>
          <w:sz w:val="22"/>
          <w:szCs w:val="22"/>
        </w:rPr>
        <w:t xml:space="preserve">Capítulo 3: Organización y Responsabilidades</w:t>
      </w:r>
    </w:p>
    <w:p>
      <w:pPr>
        <w:spacing w:after="110"/>
      </w:pPr>
      <w:r>
        <w:rPr>
          <w:rFonts w:ascii="Calibri" w:cs="Calibri" w:eastAsia="Calibri" w:hAnsi="Calibri"/>
          <w:sz w:val="20"/>
          <w:szCs w:val="20"/>
        </w:rPr>
        <w:t xml:space="preserve">A diferencia del régimen aplicable a personas morales, no existe un órgano de administración ni un Representante de Cumplimiento registrable ante la Secretaría. Conforme al artículo 20, último párrafo, LFPIORPI, el Corredor Público Titular cumple personal y directamente con las obligaciones de este Manual (ver Constancia de Asunción Personal, D2-COR).</w:t>
      </w:r>
    </w:p>
    <w:p>
      <w:pPr>
        <w:spacing w:after="60" w:before="120"/>
      </w:pPr>
      <w:r>
        <w:rPr>
          <w:rFonts w:ascii="Calibri" w:cs="Calibri" w:eastAsia="Calibri" w:hAnsi="Calibri"/>
          <w:b/>
          <w:bCs/>
          <w:color w:val="0A1628"/>
          <w:sz w:val="19"/>
          <w:szCs w:val="19"/>
        </w:rPr>
        <w:t xml:space="preserve">3.1 Corredor Público Titular</w:t>
      </w:r>
    </w:p>
    <w:p>
      <w:pPr>
        <w:pStyle w:val="ListParagraph"/>
        <w:numPr>
          <w:ilvl w:val="0"/>
          <w:numId w:val="1"/>
        </w:numPr>
        <w:spacing w:after="40"/>
      </w:pPr>
      <w:r>
        <w:rPr>
          <w:rFonts w:ascii="Calibri" w:cs="Calibri" w:eastAsia="Calibri" w:hAnsi="Calibri"/>
          <w:sz w:val="20"/>
          <w:szCs w:val="20"/>
        </w:rPr>
        <w:t xml:space="preserve">Responsable personal y directo del cumplimiento de este Manual ante la Secretaría de Hacienda (SAT/UIF) y ante la Secretaría de Economía como autoridad supervisora de la correduría.</w:t>
      </w:r>
    </w:p>
    <w:p>
      <w:pPr>
        <w:pStyle w:val="ListParagraph"/>
        <w:numPr>
          <w:ilvl w:val="0"/>
          <w:numId w:val="1"/>
        </w:numPr>
        <w:spacing w:after="40"/>
      </w:pPr>
      <w:r>
        <w:rPr>
          <w:rFonts w:ascii="Calibri" w:cs="Calibri" w:eastAsia="Calibri" w:hAnsi="Calibri"/>
          <w:sz w:val="20"/>
          <w:szCs w:val="20"/>
        </w:rPr>
        <w:t xml:space="preserve">Mantiene vigente y actualizada su alta y registro en el portal SPPLD y consulta sus medios electrónicos cada día hábil.</w:t>
      </w:r>
    </w:p>
    <w:p>
      <w:pPr>
        <w:pStyle w:val="ListParagraph"/>
        <w:numPr>
          <w:ilvl w:val="0"/>
          <w:numId w:val="1"/>
        </w:numPr>
        <w:spacing w:after="40"/>
      </w:pPr>
      <w:r>
        <w:rPr>
          <w:rFonts w:ascii="Calibri" w:cs="Calibri" w:eastAsia="Calibri" w:hAnsi="Calibri"/>
          <w:sz w:val="20"/>
          <w:szCs w:val="20"/>
        </w:rPr>
        <w:t xml:space="preserve">Presenta los Avisos e informes correspondientes dentro de los plazos legales.</w:t>
      </w:r>
    </w:p>
    <w:p>
      <w:pPr>
        <w:spacing w:after="60" w:before="120"/>
      </w:pPr>
      <w:r>
        <w:rPr>
          <w:rFonts w:ascii="Calibri" w:cs="Calibri" w:eastAsia="Calibri" w:hAnsi="Calibri"/>
          <w:b/>
          <w:bCs/>
          <w:color w:val="0A1628"/>
          <w:sz w:val="19"/>
          <w:szCs w:val="19"/>
        </w:rPr>
        <w:t xml:space="preserve">3.2 Encargado Operativo interno (opcional — D2-COR)</w:t>
      </w:r>
    </w:p>
    <w:p>
      <w:pPr>
        <w:pStyle w:val="ListParagraph"/>
        <w:numPr>
          <w:ilvl w:val="0"/>
          <w:numId w:val="1"/>
        </w:numPr>
        <w:spacing w:after="40"/>
      </w:pPr>
      <w:r>
        <w:rPr>
          <w:rFonts w:ascii="Calibri" w:cs="Calibri" w:eastAsia="Calibri" w:hAnsi="Calibri"/>
          <w:sz w:val="20"/>
          <w:szCs w:val="20"/>
        </w:rPr>
        <w:t xml:space="preserve">Auxilia en la integración de expedientes KYC, la aplicación de la Metodología EBR y el seguimiento de plazos de Avisos, bajo la supervisión y responsabilidad personal del Corredor Público Titular.</w:t>
      </w:r>
    </w:p>
    <w:p>
      <w:pPr>
        <w:keepNext/>
        <w:spacing w:after="60" w:before="120"/>
      </w:pPr>
      <w:r>
        <w:rPr>
          <w:rFonts w:ascii="Calibri" w:cs="Calibri" w:eastAsia="Calibri" w:hAnsi="Calibri"/>
          <w:b/>
          <w:bCs/>
          <w:color w:val="0A1628"/>
          <w:sz w:val="19"/>
          <w:szCs w:val="19"/>
        </w:rPr>
        <w:t xml:space="preserve">3.3 Funciones, atribuciones, recursos y responsabilidades (Art. 37 Bis, fr. X, RCG)</w:t>
      </w:r>
    </w:p>
    <w:p>
      <w:pPr>
        <w:spacing w:after="110"/>
      </w:pPr>
      <w:r>
        <w:rPr>
          <w:rFonts w:ascii="Calibri" w:cs="Calibri" w:eastAsia="Calibri" w:hAnsi="Calibri"/>
          <w:sz w:val="20"/>
          <w:szCs w:val="20"/>
        </w:rPr>
        <w:t xml:space="preserve">Al no existir Representante Encargado de Cumplimiento registrable (Art. 20, último párrafo, de la Ley), las funciones que el Art. 37 Bis, fr. X, asigna a esa figura las ejerce el Corredor Público Titular en persona:</w:t>
      </w:r>
    </w:p>
    <w:p>
      <w:pPr>
        <w:pStyle w:val="ListParagraph"/>
        <w:numPr>
          <w:ilvl w:val="0"/>
          <w:numId w:val="1"/>
        </w:numPr>
        <w:spacing w:after="40"/>
      </w:pPr>
      <w:r>
        <w:rPr>
          <w:rFonts w:ascii="Calibri" w:cs="Calibri" w:eastAsia="Calibri" w:hAnsi="Calibri"/>
          <w:sz w:val="20"/>
          <w:szCs w:val="20"/>
        </w:rPr>
        <w:t xml:space="preserve">Funciones: aplicar este Manual; decidir la clasificación de Riesgo, las medidas reforzadas y la abstención; presentar los Avisos e informes; atender requerimientos; y supervisar al Encargado Operativo.</w:t>
      </w:r>
    </w:p>
    <w:p>
      <w:pPr>
        <w:pStyle w:val="ListParagraph"/>
        <w:numPr>
          <w:ilvl w:val="0"/>
          <w:numId w:val="1"/>
        </w:numPr>
        <w:spacing w:after="40"/>
      </w:pPr>
      <w:r>
        <w:rPr>
          <w:rFonts w:ascii="Calibri" w:cs="Calibri" w:eastAsia="Calibri" w:hAnsi="Calibri"/>
          <w:sz w:val="20"/>
          <w:szCs w:val="20"/>
        </w:rPr>
        <w:t xml:space="preserve">Atribuciones del Encargado Operativo (D2-COR): integrar expedientes, consultar listas y PEP, operar el control mensual y detener cualquier trámite con expediente incompleto o alerta abierta hasta que el Corredor Público Titular resuelva.</w:t>
      </w:r>
    </w:p>
    <w:p>
      <w:pPr>
        <w:pStyle w:val="ListParagraph"/>
        <w:numPr>
          <w:ilvl w:val="0"/>
          <w:numId w:val="1"/>
        </w:numPr>
        <w:spacing w:after="40"/>
      </w:pPr>
      <w:r>
        <w:rPr>
          <w:rFonts w:ascii="Calibri" w:cs="Calibri" w:eastAsia="Calibri" w:hAnsi="Calibri"/>
          <w:sz w:val="20"/>
          <w:szCs w:val="20"/>
        </w:rPr>
        <w:t xml:space="preserve">Recursos: [RECURSOS ASIGNADOS — tiempo dedicado, personal de apoyo, herramientas y presupuesto de capacitación y asesoría].</w:t>
      </w:r>
    </w:p>
    <w:p>
      <w:pPr>
        <w:pStyle w:val="ListParagraph"/>
        <w:numPr>
          <w:ilvl w:val="0"/>
          <w:numId w:val="1"/>
        </w:numPr>
        <w:spacing w:after="40"/>
      </w:pPr>
      <w:r>
        <w:rPr>
          <w:rFonts w:ascii="Calibri" w:cs="Calibri" w:eastAsia="Calibri" w:hAnsi="Calibri"/>
          <w:sz w:val="20"/>
          <w:szCs w:val="20"/>
        </w:rPr>
        <w:t xml:space="preserve">Ausencias: cuando, conforme a la legislación aplicable, otro fedatario actúe en sustitución del Corredor Público Titular, aplica este Manual en los actos que autorice, y el Corredor Público Titular revisa a su regreso los expedientes y Avisos correspondientes [VERIFICAR conforme a la ley local o federal aplicable].</w:t>
      </w:r>
    </w:p>
    <w:p>
      <w:pPr>
        <w:shd w:fill="1F3864" w:val="clear"/>
        <w:spacing w:after="100" w:before="220"/>
      </w:pPr>
      <w:r>
        <w:rPr>
          <w:rFonts w:ascii="Calibri" w:cs="Calibri" w:eastAsia="Calibri" w:hAnsi="Calibri"/>
          <w:b/>
          <w:bCs/>
          <w:color w:val="FFFFFF"/>
          <w:sz w:val="22"/>
          <w:szCs w:val="22"/>
        </w:rPr>
        <w:t xml:space="preserve">Capítulo 4: Identificación y Conocimiento del Cliente (KYC)</w:t>
      </w:r>
    </w:p>
    <w:p>
      <w:pPr>
        <w:spacing w:after="110"/>
      </w:pPr>
      <w:r>
        <w:rPr>
          <w:rFonts w:ascii="Calibri" w:cs="Calibri" w:eastAsia="Calibri" w:hAnsi="Calibri"/>
          <w:sz w:val="20"/>
          <w:szCs w:val="20"/>
        </w:rPr>
        <w:t xml:space="preserve">Toda persona que comparezca a formalizar ante el Corredor un acto de los incisos b), c) o d), o que solicite un avalúo con fe pública sobre bienes de 8,025 UMA o más, debe ser identificada ANTES de la formalización. Se integra un expediente único de identificación conforme al Documento D7-COR (art. 12 RCG).</w:t>
      </w:r>
    </w:p>
    <w:p>
      <w:pPr>
        <w:spacing w:after="60" w:before="120"/>
      </w:pPr>
      <w:r>
        <w:rPr>
          <w:rFonts w:ascii="Calibri" w:cs="Calibri" w:eastAsia="Calibri" w:hAnsi="Calibri"/>
          <w:b/>
          <w:bCs/>
          <w:color w:val="0A1628"/>
          <w:sz w:val="19"/>
          <w:szCs w:val="19"/>
        </w:rPr>
        <w:t xml:space="preserve">4.1 Umbrales de identificación y aviso (Fracción XII, Apartado B — UMA 2026: $117.31 MXN)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500"/>
        <w:gridCol w:w="2550"/>
      </w:tblGrid>
      <w:tr>
        <w:trPr>
          <w:tblHeader/>
        </w:trPr>
        <w:tc>
          <w:tcPr>
            <w:tcW w:type="dxa" w:w="9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Inciso</w:t>
            </w:r>
          </w:p>
        </w:tc>
        <w:tc>
          <w:tcPr>
            <w:tcW w:type="dxa" w:w="34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Acto</w:t>
            </w:r>
          </w:p>
        </w:tc>
        <w:tc>
          <w:tcPr>
            <w:tcW w:type="dxa" w:w="25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Umbral de identificación</w:t>
            </w:r>
          </w:p>
        </w:tc>
        <w:tc>
          <w:tcPr>
            <w:tcW w:type="dxa" w:w="255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Umbral de aviso</w:t>
            </w:r>
          </w:p>
        </w:tc>
      </w:tr>
      <w:tr>
        <w:tc>
          <w:tcPr>
            <w:tcW w:type="dxa" w:w="9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a)</w:t>
            </w:r>
          </w:p>
        </w:tc>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Avalúo realizado con fe pública</w:t>
            </w:r>
          </w:p>
        </w:tc>
        <w:tc>
          <w:tcPr>
            <w:tcW w:type="dxa" w:w="25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8,025 UMA (~$941,413 MXN)</w:t>
            </w:r>
          </w:p>
        </w:tc>
        <w:tc>
          <w:tcPr>
            <w:tcW w:type="dxa" w:w="255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8,025 UMA (~$941,413 MXN), avalúo por avalúo</w:t>
            </w:r>
          </w:p>
        </w:tc>
      </w:tr>
      <w:tr>
        <w:tc>
          <w:tcPr>
            <w:tcW w:type="dxa" w:w="9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b)</w:t>
            </w:r>
          </w:p>
        </w:tc>
        <w:tc>
          <w:tcPr>
            <w:tcW w:type="dxa" w:w="34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Sociedades mercantiles / capital / fusión / escisión / acciones y partes sociales</w:t>
            </w:r>
          </w:p>
        </w:tc>
        <w:tc>
          <w:tcPr>
            <w:tcW w:type="dxa" w:w="25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r>
        <w:tc>
          <w:tcPr>
            <w:tcW w:type="dxa" w:w="9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c)</w:t>
            </w:r>
          </w:p>
        </w:tc>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Fideicomisos: constitución, modificación o cesión de derechos</w:t>
            </w:r>
          </w:p>
        </w:tc>
        <w:tc>
          <w:tcPr>
            <w:tcW w:type="dxa" w:w="25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r>
        <w:tc>
          <w:tcPr>
            <w:tcW w:type="dxa" w:w="9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d)</w:t>
            </w:r>
          </w:p>
        </w:tc>
        <w:tc>
          <w:tcPr>
            <w:tcW w:type="dxa" w:w="34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Mutuo o crédito mercantil (acreedor fuera del sistema financiero)</w:t>
            </w:r>
          </w:p>
        </w:tc>
        <w:tc>
          <w:tcPr>
            <w:tcW w:type="dxa" w:w="25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bl>
    <w:p>
      <w:pPr>
        <w:spacing w:after="110"/>
      </w:pPr>
      <w:r>
        <w:rPr>
          <w:rFonts w:ascii="Calibri" w:cs="Calibri" w:eastAsia="Calibri" w:hAnsi="Calibri"/>
          <w:sz w:val="20"/>
          <w:szCs w:val="20"/>
        </w:rPr>
        <w:t xml:space="preserve">El fundamento del criterio "sin umbral" de los incisos b), c) y d) y de la no acumulación se desarrolla en el Dictamen de Sujeción Normativa (D1-COR, sección 2.3).</w:t>
      </w:r>
    </w:p>
    <w:p>
      <w:pPr>
        <w:keepNext/>
        <w:spacing w:after="60" w:before="120"/>
      </w:pPr>
      <w:r>
        <w:rPr>
          <w:rFonts w:ascii="Calibri" w:cs="Calibri" w:eastAsia="Calibri" w:hAnsi="Calibri"/>
          <w:b/>
          <w:bCs/>
          <w:color w:val="0A1628"/>
          <w:sz w:val="19"/>
          <w:szCs w:val="19"/>
        </w:rPr>
        <w:t xml:space="preserve">4.2 Integración, cotejo, verificación y actualización del expediente (Arts. 12, 21 y 22 RCG)</w:t>
      </w:r>
    </w:p>
    <w:p>
      <w:pPr>
        <w:spacing w:after="110"/>
      </w:pPr>
      <w:r>
        <w:rPr>
          <w:rFonts w:ascii="Calibri" w:cs="Calibri" w:eastAsia="Calibri" w:hAnsi="Calibri"/>
          <w:sz w:val="20"/>
          <w:szCs w:val="20"/>
        </w:rPr>
        <w:t xml:space="preserve">El expediente único de identificación se integra antes del acto u operación o, a más tardar, al establecer la Relación de negocios, con los datos y documentos del Anexo de las RCG que corresponda al tipo de Cliente o Usuaria (Art. 12):</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4300"/>
      </w:tblGrid>
      <w:tr>
        <w:trPr>
          <w:tblHeader/>
        </w:trPr>
        <w:tc>
          <w:tcPr>
            <w:tcW w:type="dxa" w:w="5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Tipo de Cliente o Usuaria</w:t>
            </w:r>
          </w:p>
        </w:tc>
        <w:tc>
          <w:tcPr>
            <w:tcW w:type="dxa" w:w="4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Anexo RCG</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física mexicana, o extranjera residente temporal o permanente</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3</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moral mexicana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4</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moral mexicana de derecho público</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Anexos 4 Bis, 7 y 7 Bis (según el caso)</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física extranjera con condición de visitante u otra distinta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5</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moral extranjera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6</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Embajada, consulado u organismo internacional</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6 Bis</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Fideicomiso</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8</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Otra figura o estructura jurídica sin personalidad propia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Criterio del Programa: datos del Anexo 8 aplicables por analogía, instrumento que le da origen e identificación de quienes la administran o controlan</w:t>
            </w:r>
          </w:p>
        </w:tc>
      </w:tr>
    </w:tbl>
    <w:p>
      <w:pPr>
        <w:spacing w:after="80"/>
      </w:pPr>
    </w:p>
    <w:p>
      <w:pPr>
        <w:pStyle w:val="ListParagraph"/>
        <w:numPr>
          <w:ilvl w:val="0"/>
          <w:numId w:val="1"/>
        </w:numPr>
        <w:spacing w:after="40"/>
      </w:pPr>
      <w:r>
        <w:rPr>
          <w:rFonts w:ascii="Calibri" w:cs="Calibri" w:eastAsia="Calibri" w:hAnsi="Calibri"/>
          <w:sz w:val="20"/>
          <w:szCs w:val="20"/>
        </w:rPr>
        <w:t xml:space="preserve">Cotejo: las copias se cotejan contra el original o contra copia certificada; en el expediente se asienta la fecha y quién realizó el cotejo. No se acepta la cédula profesional como identificación oficial.</w:t>
      </w:r>
    </w:p>
    <w:p>
      <w:pPr>
        <w:pStyle w:val="ListParagraph"/>
        <w:numPr>
          <w:ilvl w:val="0"/>
          <w:numId w:val="1"/>
        </w:numPr>
        <w:spacing w:after="40"/>
      </w:pPr>
      <w:r>
        <w:rPr>
          <w:rFonts w:ascii="Calibri" w:cs="Calibri" w:eastAsia="Calibri" w:hAnsi="Calibri"/>
          <w:sz w:val="20"/>
          <w:szCs w:val="20"/>
        </w:rPr>
        <w:t xml:space="preserve">Verificación: se verifica la vigencia de la identificación oficial y la congruencia de los datos (CURP, RFC, domicilio, fecha de nacimiento o constitución) con los documentos y con las fuentes oficiales disponibles. Cualquier inconsistencia se aclara antes del acto; si no se aclara, se aplican los criterios de abstención de este Manual.</w:t>
      </w:r>
    </w:p>
    <w:p>
      <w:pPr>
        <w:pStyle w:val="ListParagraph"/>
        <w:numPr>
          <w:ilvl w:val="0"/>
          <w:numId w:val="1"/>
        </w:numPr>
        <w:spacing w:after="40"/>
      </w:pPr>
      <w:r>
        <w:rPr>
          <w:rFonts w:ascii="Calibri" w:cs="Calibri" w:eastAsia="Calibri" w:hAnsi="Calibri"/>
          <w:sz w:val="20"/>
          <w:szCs w:val="20"/>
        </w:rPr>
        <w:t xml:space="preserve">Actualización: al menos una vez al año se verifica que los expedientes de los clientes con Relación de negocios estén completos y actualizados, con comprobante de domicilio no mayor a tres meses cuando el Anexo lo exija (Art. 21). Además, el expediente se actualiza cuando cambie significativamente el Perfil Transaccional (Art. 23 Ter, fr. IV), cuando se reclasifique el Grado de Riesgo y, para clientes de Riesgo alto, en cada reevaluación semestral (criterio del Programa).</w:t>
      </w:r>
    </w:p>
    <w:p>
      <w:pPr>
        <w:pStyle w:val="ListParagraph"/>
        <w:numPr>
          <w:ilvl w:val="0"/>
          <w:numId w:val="1"/>
        </w:numPr>
        <w:spacing w:after="40"/>
      </w:pPr>
      <w:r>
        <w:rPr>
          <w:rFonts w:ascii="Calibri" w:cs="Calibri" w:eastAsia="Calibri" w:hAnsi="Calibri"/>
          <w:sz w:val="20"/>
          <w:szCs w:val="20"/>
        </w:rPr>
        <w:t xml:space="preserve">Actuación por cuenta de otra persona: si hay indicios o hechos de que el cliente actúa por cuenta de un tercero no declarado, se le solicita la información para identificar al Beneficiario Controlador (Art. 22).</w:t>
      </w:r>
    </w:p>
    <w:p>
      <w:pPr>
        <w:pStyle w:val="ListParagraph"/>
        <w:numPr>
          <w:ilvl w:val="0"/>
          <w:numId w:val="1"/>
        </w:numPr>
        <w:spacing w:after="40"/>
      </w:pPr>
      <w:r>
        <w:rPr>
          <w:rFonts w:ascii="Calibri" w:cs="Calibri" w:eastAsia="Calibri" w:hAnsi="Calibri"/>
          <w:sz w:val="20"/>
          <w:szCs w:val="20"/>
        </w:rPr>
        <w:t xml:space="preserve">Formatos y lista de verificación del expediente: Documento D7-COR.</w:t>
      </w:r>
    </w:p>
    <w:p>
      <w:pPr>
        <w:shd w:fill="1F3864" w:val="clear"/>
        <w:spacing w:after="100" w:before="220"/>
      </w:pPr>
      <w:r>
        <w:rPr>
          <w:rFonts w:ascii="Calibri" w:cs="Calibri" w:eastAsia="Calibri" w:hAnsi="Calibri"/>
          <w:b/>
          <w:bCs/>
          <w:color w:val="FFFFFF"/>
          <w:sz w:val="22"/>
          <w:szCs w:val="22"/>
        </w:rPr>
        <w:t xml:space="preserve">Capítulo 5: Enfoque Basado en Riesgo (EBR)</w:t>
      </w:r>
    </w:p>
    <w:p>
      <w:pPr>
        <w:spacing w:after="110"/>
      </w:pPr>
      <w:r>
        <w:rPr>
          <w:rFonts w:ascii="Calibri" w:cs="Calibri" w:eastAsia="Calibri" w:hAnsi="Calibri"/>
          <w:sz w:val="20"/>
          <w:szCs w:val="20"/>
        </w:rPr>
        <w:t xml:space="preserve">La Correduría clasifica a sus clientes en tres niveles de riesgo (BAJO, MEDIO, ALTO) utilizando la Metodología EBR del Documento D6-COR. Factores evaluados: perfil del cliente, origen de los recursos o de los bienes aportados, tipo de acto ante el Corredor, monto, zona geográfica y vínculo con PEP's.</w:t>
      </w:r>
    </w:p>
    <w:p>
      <w:pPr>
        <w:spacing w:after="110"/>
      </w:pPr>
      <w:r>
        <w:rPr>
          <w:rFonts w:ascii="Calibri" w:cs="Calibri" w:eastAsia="Calibri" w:hAnsi="Calibri"/>
          <w:b/>
          <w:sz w:val="20"/>
          <w:szCs w:val="20"/>
        </w:rPr>
        <w:t xml:space="preserve">Medidas de debida diligencia por Grado de Riesgo. Riesgo bajo: medidas simplificadas (Art. 17 RCG), con los datos mínimos de los Anexos, conforme a los criterios de la sección 5.2. Riesgo medio: expediente de identificación completo conforme al Art. 12 RCG (Art. 17 Bis RCG). Riesgo alto: debida diligencia reforzada (Arts. 23 Ter 3 y 23 Ter 4 RCG): mayor información sobre el origen y destino de los recursos, cuestionario de identificación reforzada (Anexo B), consulta de los registros electrónicos de la Secretaría de Economía sobre los accionistas o socios de personas morales y monitoreo más estricto; si el cliente es además PEP, el Corredor Público Titular deja constancia firmada de los motivos considerados (Art. 23 Ter 5 RCG). El Grado de Riesgo se reevalúa cuando menos cada seis meses (Art. 23 Bis 1 RCG).</w:t>
      </w:r>
    </w:p>
    <w:p>
      <w:pPr>
        <w:keepNext/>
        <w:spacing w:after="60" w:before="120"/>
      </w:pPr>
      <w:r>
        <w:rPr>
          <w:rFonts w:ascii="Calibri" w:cs="Calibri" w:eastAsia="Calibri" w:hAnsi="Calibri"/>
          <w:b/>
          <w:bCs/>
          <w:color w:val="0A1628"/>
          <w:sz w:val="19"/>
          <w:szCs w:val="19"/>
        </w:rPr>
        <w:t xml:space="preserve">5.1 Evaluación de los Riesgos de la Correduría como sujeto obligado (Arts. 10 Septies a 10 Septies 3 RCG)</w:t>
      </w:r>
    </w:p>
    <w:p>
      <w:pPr>
        <w:spacing w:after="110"/>
      </w:pPr>
      <w:r>
        <w:rPr>
          <w:rFonts w:ascii="Calibri" w:cs="Calibri" w:eastAsia="Calibri" w:hAnsi="Calibri"/>
          <w:sz w:val="20"/>
          <w:szCs w:val="20"/>
        </w:rPr>
        <w:t xml:space="preserve">Además de clasificar a cada Cliente o Usuaria, la Correduría evalúa, al menos una vez al año, los Riesgos a los que se expone por los actos u operaciones que realiza, sus Clientes o Usuarias, las áreas geográficas y los canales de envío o distribución. El resultado es el nivel de Riesgo de la Correduría (bajo, medio o alto), que se utiliza para fijar su tolerancia al Riesgo y para determinar quién puede emitir el dictamen de auditoría (Arts. 44 y 45 RCG; Capítulo 12). Esta sección forma parte de la metodología de evaluación de Riesgos, junto con el Documento D6-COR.</w:t>
      </w:r>
    </w:p>
    <w:p>
      <w:pPr>
        <w:pStyle w:val="ListParagraph"/>
        <w:numPr>
          <w:ilvl w:val="0"/>
          <w:numId w:val="1"/>
        </w:numPr>
        <w:spacing w:after="40"/>
      </w:pPr>
      <w:r>
        <w:rPr>
          <w:rFonts w:ascii="Calibri" w:cs="Calibri" w:eastAsia="Calibri" w:hAnsi="Calibri"/>
          <w:b/>
          <w:bCs/>
          <w:sz w:val="20"/>
          <w:szCs w:val="20"/>
        </w:rPr>
        <w:t xml:space="preserve">Datos.</w:t>
      </w:r>
      <w:r>
        <w:rPr>
          <w:rFonts w:ascii="Calibri" w:cs="Calibri" w:eastAsia="Calibri" w:hAnsi="Calibri"/>
          <w:sz w:val="20"/>
          <w:szCs w:val="20"/>
        </w:rPr>
        <w:t xml:space="preserve"> Total de Clientes o Usuarias, número de actos y monto operado de los últimos doce meses — o proyectados, si aún no hay historial, con actualización al cumplir doce meses —, desglosados por tipo de acto, tipo de cliente (persona física, moral o fideicomiso; nacional o extranjero; PEP), entidad federativa, forma de pago y canal. Los datos deben ser consistentes con los mecanismos automatizados (Art. 10 Septies 2 RCG).</w:t>
      </w:r>
    </w:p>
    <w:p>
      <w:pPr>
        <w:pStyle w:val="ListParagraph"/>
        <w:numPr>
          <w:ilvl w:val="0"/>
          <w:numId w:val="1"/>
        </w:numPr>
        <w:spacing w:after="40"/>
      </w:pPr>
      <w:r>
        <w:rPr>
          <w:rFonts w:ascii="Calibri" w:cs="Calibri" w:eastAsia="Calibri" w:hAnsi="Calibri"/>
          <w:b/>
          <w:bCs/>
          <w:sz w:val="20"/>
          <w:szCs w:val="20"/>
        </w:rPr>
        <w:t xml:space="preserve">Riesgo inherente.</w:t>
      </w:r>
      <w:r>
        <w:rPr>
          <w:rFonts w:ascii="Calibri" w:cs="Calibri" w:eastAsia="Calibri" w:hAnsi="Calibri"/>
          <w:sz w:val="20"/>
          <w:szCs w:val="20"/>
        </w:rPr>
        <w:t xml:space="preserve"> Cada uno de los cuatro elementos se califica de 1 (bajo) a 3 (alto) con los indicadores de la Metodología EBR aplicados a la cartera en su conjunto, considerando la Evaluación Nacional de Riesgos y sus actualizaciones, así como indicadores específicos de financiamiento al terrorismo y de lavado de dinero (Arts. 139 Quáter y 400 Bis del Código Penal Federal).</w:t>
      </w:r>
    </w:p>
    <w:p>
      <w:pPr>
        <w:pStyle w:val="ListParagraph"/>
        <w:numPr>
          <w:ilvl w:val="0"/>
          <w:numId w:val="1"/>
        </w:numPr>
        <w:spacing w:after="40"/>
      </w:pPr>
      <w:r>
        <w:rPr>
          <w:rFonts w:ascii="Calibri" w:cs="Calibri" w:eastAsia="Calibri" w:hAnsi="Calibri"/>
          <w:b/>
          <w:bCs/>
          <w:sz w:val="20"/>
          <w:szCs w:val="20"/>
        </w:rPr>
        <w:t xml:space="preserve">Mitigantes.</w:t>
      </w:r>
      <w:r>
        <w:rPr>
          <w:rFonts w:ascii="Calibri" w:cs="Calibri" w:eastAsia="Calibri" w:hAnsi="Calibri"/>
          <w:sz w:val="20"/>
          <w:szCs w:val="20"/>
        </w:rPr>
        <w:t xml:space="preserve"> Se califica la eficacia de los Mitigantes de cada elemento con base en la evidencia de su aplicación (supervisión interna y auditoría): efectivo (reduce un nivel), parcialmente efectivo (reduce medio nivel) o no efectivo (no reduce). El Riesgo residual de un elemento nunca es menor que 1.</w:t>
      </w:r>
    </w:p>
    <w:p>
      <w:pPr>
        <w:pStyle w:val="ListParagraph"/>
        <w:numPr>
          <w:ilvl w:val="0"/>
          <w:numId w:val="1"/>
        </w:numPr>
        <w:spacing w:after="40"/>
      </w:pPr>
      <w:r>
        <w:rPr>
          <w:rFonts w:ascii="Calibri" w:cs="Calibri" w:eastAsia="Calibri" w:hAnsi="Calibri"/>
          <w:b/>
          <w:bCs/>
          <w:sz w:val="20"/>
          <w:szCs w:val="20"/>
        </w:rPr>
        <w:t xml:space="preserve">Nivel de Riesgo de la Correduría.</w:t>
      </w:r>
      <w:r>
        <w:rPr>
          <w:rFonts w:ascii="Calibri" w:cs="Calibri" w:eastAsia="Calibri" w:hAnsi="Calibri"/>
          <w:sz w:val="20"/>
          <w:szCs w:val="20"/>
        </w:rPr>
        <w:t xml:space="preserve"> Promedio de los Riesgos residuales con igual ponderación para los cuatro elementos: de 1.00 a 1.66, bajo; de 1.67 a 2.33, medio; más de 2.33, alto (criterio del Programa).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000"/>
        <w:gridCol w:w="1700"/>
        <w:gridCol w:w="1800"/>
        <w:gridCol w:w="1700"/>
      </w:tblGrid>
      <w:tr>
        <w:trPr>
          <w:tblHeader/>
        </w:trPr>
        <w:tc>
          <w:tcPr>
            <w:tcW w:type="dxa" w:w="3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Elemento de Riesgo</w:t>
            </w:r>
          </w:p>
        </w:tc>
        <w:tc>
          <w:tcPr>
            <w:tcW w:type="dxa" w:w="10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Peso</w:t>
            </w:r>
          </w:p>
        </w:tc>
        <w:tc>
          <w:tcPr>
            <w:tcW w:type="dxa" w:w="17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Riesgo inherente (1–3)</w:t>
            </w:r>
          </w:p>
        </w:tc>
        <w:tc>
          <w:tcPr>
            <w:tcW w:type="dxa" w:w="18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Eficacia de Mitigantes</w:t>
            </w:r>
          </w:p>
        </w:tc>
        <w:tc>
          <w:tcPr>
            <w:tcW w:type="dxa" w:w="17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Riesgo residual (1–3)</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A. Actos u operaciones</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×1.0</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B. Tipo de Clientes o Usuarias</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×1.0</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C. Países y áreas geográficas</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×1.0</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D. Transacciones y canales de envío o distribución</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×1.0</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r>
              <w:rPr>
                <w:rFonts w:ascii="Calibri" w:cs="Calibri" w:eastAsia="Calibri" w:hAnsi="Calibri"/>
                <w:b/>
                <w:bCs/>
                <w:sz w:val="18"/>
                <w:szCs w:val="18"/>
              </w:rPr>
              <w:t xml:space="preserve">Nivel de Riesgo de la Correduría</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 Bajo  [ ] Medio  [ ] Alto</w:t>
            </w:r>
          </w:p>
        </w:tc>
      </w:tr>
    </w:tbl>
    <w:p>
      <w:pPr>
        <w:spacing w:after="80"/>
      </w:pPr>
    </w:p>
    <w:p>
      <w:pPr>
        <w:spacing w:after="110"/>
      </w:pPr>
      <w:r>
        <w:rPr>
          <w:rFonts w:ascii="Calibri" w:cs="Calibri" w:eastAsia="Calibri" w:hAnsi="Calibri"/>
          <w:sz w:val="20"/>
          <w:szCs w:val="20"/>
        </w:rPr>
        <w:t xml:space="preserve">La evaluación consta por escrito, la firma el Corredor Público Titular, se conserva por diez años y está a disposición de la autoridad a partir del 1 de marzo de 2027, con la información del año inmediato anterior (Transitorio Segundo). Se actualiza cada doce meses, cuando se detecten Riesgos nuevos o mayores o cuando se actualice la Evaluación Nacional de Riesgos (Art. 10 Septies 3); si revela Riesgos mayores o nuevos, los Mitigantes se modifican en un plazo no mayor a doce meses, indicando el año y mes de los resultados que motivaron el cambio (Art. 10 Septies 2).</w:t>
      </w:r>
    </w:p>
    <w:p>
      <w:pPr>
        <w:keepNext/>
        <w:spacing w:after="60" w:before="120"/>
      </w:pPr>
      <w:r>
        <w:rPr>
          <w:rFonts w:ascii="Calibri" w:cs="Calibri" w:eastAsia="Calibri" w:hAnsi="Calibri"/>
          <w:b/>
          <w:bCs/>
          <w:color w:val="0A1628"/>
          <w:sz w:val="19"/>
          <w:szCs w:val="19"/>
        </w:rPr>
        <w:t xml:space="preserve">5.2 Criterios para clasificar a un Cliente o Usuaria como de Riesgo bajo (Art. 17 RCG)</w:t>
      </w:r>
    </w:p>
    <w:p>
      <w:pPr>
        <w:spacing w:after="110"/>
      </w:pPr>
      <w:r>
        <w:rPr>
          <w:rFonts w:ascii="Calibri" w:cs="Calibri" w:eastAsia="Calibri" w:hAnsi="Calibri"/>
          <w:sz w:val="20"/>
          <w:szCs w:val="20"/>
        </w:rPr>
        <w:t xml:space="preserve">La Correduría aplica medidas simplificadas únicamente al Cliente o Usuaria que cumpla todos los criterios siguientes:</w:t>
      </w:r>
    </w:p>
    <w:p>
      <w:pPr>
        <w:pStyle w:val="ListParagraph"/>
        <w:numPr>
          <w:ilvl w:val="0"/>
          <w:numId w:val="1"/>
        </w:numPr>
        <w:spacing w:after="40"/>
      </w:pPr>
      <w:r>
        <w:rPr>
          <w:rFonts w:ascii="Calibri" w:cs="Calibri" w:eastAsia="Calibri" w:hAnsi="Calibri"/>
          <w:sz w:val="20"/>
          <w:szCs w:val="20"/>
        </w:rPr>
        <w:t xml:space="preserve">Es persona física de nacionalidad mexicana o residente en México, o persona moral mexicana con estructura accionaria simple (sin más de un nivel de personas morales entre ella y su Beneficiario Controlador), con Beneficiario Controlador identificado.</w:t>
      </w:r>
    </w:p>
    <w:p>
      <w:pPr>
        <w:pStyle w:val="ListParagraph"/>
        <w:numPr>
          <w:ilvl w:val="0"/>
          <w:numId w:val="1"/>
        </w:numPr>
        <w:spacing w:after="40"/>
      </w:pPr>
      <w:r>
        <w:rPr>
          <w:rFonts w:ascii="Calibri" w:cs="Calibri" w:eastAsia="Calibri" w:hAnsi="Calibri"/>
          <w:sz w:val="20"/>
          <w:szCs w:val="20"/>
        </w:rPr>
        <w:t xml:space="preserve">No es Persona Políticamente Expuesta ni se asimila a ella, y no aparece en las listas a que se refiere el Capítulo 15.</w:t>
      </w:r>
    </w:p>
    <w:p>
      <w:pPr>
        <w:pStyle w:val="ListParagraph"/>
        <w:numPr>
          <w:ilvl w:val="0"/>
          <w:numId w:val="1"/>
        </w:numPr>
        <w:spacing w:after="40"/>
      </w:pPr>
      <w:r>
        <w:rPr>
          <w:rFonts w:ascii="Calibri" w:cs="Calibri" w:eastAsia="Calibri" w:hAnsi="Calibri"/>
          <w:sz w:val="20"/>
          <w:szCs w:val="20"/>
        </w:rPr>
        <w:t xml:space="preserve">Los recursos provienen de cuentas en Entidades Financieras a nombre del propio Cliente o Usuaria, o de un crédito otorgado por una Entidad Financiera, y no se pretende pagar en efectivo.</w:t>
      </w:r>
    </w:p>
    <w:p>
      <w:pPr>
        <w:pStyle w:val="ListParagraph"/>
        <w:numPr>
          <w:ilvl w:val="0"/>
          <w:numId w:val="1"/>
        </w:numPr>
        <w:spacing w:after="40"/>
      </w:pPr>
      <w:r>
        <w:rPr>
          <w:rFonts w:ascii="Calibri" w:cs="Calibri" w:eastAsia="Calibri" w:hAnsi="Calibri"/>
          <w:sz w:val="20"/>
          <w:szCs w:val="20"/>
        </w:rPr>
        <w:t xml:space="preserve">Cuando el acto u operación tenga umbral de Aviso, su monto es inferior a dicho umbral; y no existe ninguna señal de alerta.</w:t>
      </w:r>
    </w:p>
    <w:p>
      <w:pPr>
        <w:pStyle w:val="ListParagraph"/>
        <w:numPr>
          <w:ilvl w:val="0"/>
          <w:numId w:val="1"/>
        </w:numPr>
        <w:spacing w:after="40"/>
      </w:pPr>
      <w:r>
        <w:rPr>
          <w:rFonts w:ascii="Calibri" w:cs="Calibri" w:eastAsia="Calibri" w:hAnsi="Calibri"/>
          <w:sz w:val="20"/>
          <w:szCs w:val="20"/>
        </w:rPr>
        <w:t xml:space="preserve">Ni el domicilio ni el origen o destino de los recursos se vinculan con países o jurisdicciones de Riesgo.</w:t>
      </w:r>
    </w:p>
    <w:p>
      <w:pPr>
        <w:pStyle w:val="ListParagraph"/>
        <w:numPr>
          <w:ilvl w:val="0"/>
          <w:numId w:val="1"/>
        </w:numPr>
        <w:spacing w:after="40"/>
      </w:pPr>
      <w:r>
        <w:rPr>
          <w:rFonts w:ascii="Calibri" w:cs="Calibri" w:eastAsia="Calibri" w:hAnsi="Calibri"/>
          <w:sz w:val="20"/>
          <w:szCs w:val="20"/>
        </w:rPr>
        <w:t xml:space="preserve">Obtiene una puntuación de 6 a 9 puntos en la Metodología EBR (Documento D6-COR).</w:t>
      </w:r>
    </w:p>
    <w:p>
      <w:pPr>
        <w:spacing w:after="110"/>
      </w:pPr>
      <w:r>
        <w:rPr>
          <w:rFonts w:ascii="Calibri" w:cs="Calibri" w:eastAsia="Calibri" w:hAnsi="Calibri"/>
          <w:sz w:val="20"/>
          <w:szCs w:val="20"/>
        </w:rPr>
        <w:t xml:space="preserve">Si el Cliente o Usuaria deja de cumplir cualquiera de estos criterios, se integra su expediente completo (Art. 17, último párrafo, y Art. 17 Bis RCG) y se reclasifica. Las medidas simplificadas no eximen de identificar al Cliente o Usuaria ni de consultar las listas y la calidad de PEP.</w:t>
      </w:r>
    </w:p>
    <w:p>
      <w:pPr>
        <w:keepNext/>
        <w:spacing w:after="60" w:before="120"/>
      </w:pPr>
      <w:r>
        <w:rPr>
          <w:rFonts w:ascii="Calibri" w:cs="Calibri" w:eastAsia="Calibri" w:hAnsi="Calibri"/>
          <w:b/>
          <w:bCs/>
          <w:color w:val="0A1628"/>
          <w:sz w:val="19"/>
          <w:szCs w:val="19"/>
        </w:rPr>
        <w:t xml:space="preserve">5.3 Medidas reforzadas para Clientes o Usuarias de Riesgo alto (Arts. 23 Ter 3, 23 Ter 4 y 23 Ter 5 RCG)</w:t>
      </w:r>
    </w:p>
    <w:p>
      <w:pPr>
        <w:pStyle w:val="ListParagraph"/>
        <w:numPr>
          <w:ilvl w:val="0"/>
          <w:numId w:val="1"/>
        </w:numPr>
        <w:spacing w:after="40"/>
      </w:pPr>
      <w:r>
        <w:rPr>
          <w:rFonts w:ascii="Calibri" w:cs="Calibri" w:eastAsia="Calibri" w:hAnsi="Calibri"/>
          <w:sz w:val="20"/>
          <w:szCs w:val="20"/>
        </w:rPr>
        <w:t xml:space="preserve">Se aplica el Cuestionario de Identificación Reforzada del Anexo B de este Manual al alta y en cada reevaluación, para obtener mayor información sobre la actividad preponderante del cliente y el origen y destino de los recursos. Puede aplicarse a distancia por medios digitales, siempre con la Firma Electrónica de quien lo suscribe (Art. 23 Ter 3).</w:t>
      </w:r>
    </w:p>
    <w:p>
      <w:pPr>
        <w:pStyle w:val="ListParagraph"/>
        <w:numPr>
          <w:ilvl w:val="0"/>
          <w:numId w:val="1"/>
        </w:numPr>
        <w:spacing w:after="40"/>
      </w:pPr>
      <w:r>
        <w:rPr>
          <w:rFonts w:ascii="Calibri" w:cs="Calibri" w:eastAsia="Calibri" w:hAnsi="Calibri"/>
          <w:sz w:val="20"/>
          <w:szCs w:val="20"/>
        </w:rPr>
        <w:t xml:space="preserve">Personas físicas: se adoptan medidas reforzadas sobre el origen y destino de los recursos y se recaban, del cónyuge y de los dependientes económicos, nombre completo, fecha de nacimiento, nacionalidad y CURP o RFC, así como la denominación, RFC y porcentaje de participación de las sociedades y asociaciones con las que el cliente mantenga vínculos patrimoniales (Art. 23 Ter 4, fr. I).</w:t>
      </w:r>
    </w:p>
    <w:p>
      <w:pPr>
        <w:pStyle w:val="ListParagraph"/>
        <w:numPr>
          <w:ilvl w:val="0"/>
          <w:numId w:val="1"/>
        </w:numPr>
        <w:spacing w:after="40"/>
      </w:pPr>
      <w:r>
        <w:rPr>
          <w:rFonts w:ascii="Calibri" w:cs="Calibri" w:eastAsia="Calibri" w:hAnsi="Calibri"/>
          <w:sz w:val="20"/>
          <w:szCs w:val="20"/>
        </w:rPr>
        <w:t xml:space="preserve">Personas morales: se obtiene mayor información de sus principales accionistas o socios y se confirma en los registros electrónicos de la Secretaría de Economía (Art. 23 Ter 4, fr. II).</w:t>
      </w:r>
    </w:p>
    <w:p>
      <w:pPr>
        <w:pStyle w:val="ListParagraph"/>
        <w:numPr>
          <w:ilvl w:val="0"/>
          <w:numId w:val="1"/>
        </w:numPr>
        <w:spacing w:after="40"/>
      </w:pPr>
      <w:r>
        <w:rPr>
          <w:rFonts w:ascii="Calibri" w:cs="Calibri" w:eastAsia="Calibri" w:hAnsi="Calibri"/>
          <w:sz w:val="20"/>
          <w:szCs w:val="20"/>
        </w:rPr>
        <w:t xml:space="preserve">Personas Políticamente Expuestas extranjeras: además, se recaba la documentación del Capítulo III de las RCG respecto del cónyuge y los dependientes económicos (Art. 23 Ter 4, fr. III).</w:t>
      </w:r>
    </w:p>
    <w:p>
      <w:pPr>
        <w:pStyle w:val="ListParagraph"/>
        <w:numPr>
          <w:ilvl w:val="0"/>
          <w:numId w:val="1"/>
        </w:numPr>
        <w:spacing w:after="40"/>
      </w:pPr>
      <w:r>
        <w:rPr>
          <w:rFonts w:ascii="Calibri" w:cs="Calibri" w:eastAsia="Calibri" w:hAnsi="Calibri"/>
          <w:sz w:val="20"/>
          <w:szCs w:val="20"/>
        </w:rPr>
        <w:t xml:space="preserve">Cuando el cliente sea PEP y además de Riesgo alto, el acto u operación requiere la constancia firmada por el Corredor Público Titular en la que señale los motivos que consideró para formalizar el acto (Art. 23 Ter 5, segundo párrafo, RCG), que considera el cuestionario reforzado, el origen de los recursos y el monitoreo propuesto.</w:t>
      </w:r>
    </w:p>
    <w:p>
      <w:pPr>
        <w:pStyle w:val="ListParagraph"/>
        <w:numPr>
          <w:ilvl w:val="0"/>
          <w:numId w:val="1"/>
        </w:numPr>
        <w:spacing w:after="40"/>
      </w:pPr>
      <w:r>
        <w:rPr>
          <w:rFonts w:ascii="Calibri" w:cs="Calibri" w:eastAsia="Calibri" w:hAnsi="Calibri"/>
          <w:sz w:val="20"/>
          <w:szCs w:val="20"/>
        </w:rPr>
        <w:t xml:space="preserve">Detección posterior: si la calidad de PEP o el Riesgo alto se identifica después de iniciada la relación, su continuidad requiere la misma aprobación o constancia del Art. 23 Ter 5 —que aplica "previamente o con posterioridad" al acto—. Mientras no se obtenga, no se celebran nuevos actos u operaciones con ese cliente.</w:t>
      </w:r>
    </w:p>
    <w:p>
      <w:pPr>
        <w:pStyle w:val="ListParagraph"/>
        <w:numPr>
          <w:ilvl w:val="0"/>
          <w:numId w:val="1"/>
        </w:numPr>
        <w:spacing w:after="40"/>
      </w:pPr>
      <w:r>
        <w:rPr>
          <w:rFonts w:ascii="Calibri" w:cs="Calibri" w:eastAsia="Calibri" w:hAnsi="Calibri"/>
          <w:sz w:val="20"/>
          <w:szCs w:val="20"/>
        </w:rPr>
        <w:t xml:space="preserve">El comportamiento transaccional del cliente se revisa con mayor rigor: cada pago o aportación se compara con su Perfil Transaccional y toda desviación se analiza conforme a los parámetros de alertas de este Manual.</w:t>
      </w:r>
    </w:p>
    <w:p>
      <w:pPr>
        <w:keepNext/>
        <w:spacing w:after="60" w:before="120"/>
      </w:pPr>
      <w:r>
        <w:rPr>
          <w:rFonts w:ascii="Calibri" w:cs="Calibri" w:eastAsia="Calibri" w:hAnsi="Calibri"/>
          <w:b/>
          <w:bCs/>
          <w:color w:val="0A1628"/>
          <w:sz w:val="19"/>
          <w:szCs w:val="19"/>
        </w:rPr>
        <w:t xml:space="preserve">5.4 Países, territorios y jurisdicciones de alto Riesgo (Arts. 23 Bis 4 y 41, fr. V, RCG)</w:t>
      </w:r>
    </w:p>
    <w:p>
      <w:pPr>
        <w:pStyle w:val="ListParagraph"/>
        <w:numPr>
          <w:ilvl w:val="0"/>
          <w:numId w:val="1"/>
        </w:numPr>
        <w:spacing w:after="40"/>
      </w:pPr>
      <w:r>
        <w:rPr>
          <w:rFonts w:ascii="Calibri" w:cs="Calibri" w:eastAsia="Calibri" w:hAnsi="Calibri"/>
          <w:sz w:val="20"/>
          <w:szCs w:val="20"/>
        </w:rPr>
        <w:t xml:space="preserve">Fuentes: (i) la lista de países y jurisdicciones que la UIF pone a disposición en el Portal en Internet (Art. 23 Bis 4, último párrafo); (ii) los países y territorios que la legislación fiscal mexicana considera de régimen fiscal preferente; y (iii) las jurisdicciones que el GAFI/FATF y el GAFILAT señalan como de alto Riesgo o sujetas a monitoreo intensificado. Las listas se revisan cada vez que se actualizan; el GAFI lo hace tras sus plenarias, normalmente tres veces al año.</w:t>
      </w:r>
    </w:p>
    <w:p>
      <w:pPr>
        <w:pStyle w:val="ListParagraph"/>
        <w:numPr>
          <w:ilvl w:val="0"/>
          <w:numId w:val="1"/>
        </w:numPr>
        <w:spacing w:after="40"/>
      </w:pPr>
      <w:r>
        <w:rPr>
          <w:rFonts w:ascii="Calibri" w:cs="Calibri" w:eastAsia="Calibri" w:hAnsi="Calibri"/>
          <w:sz w:val="20"/>
          <w:szCs w:val="20"/>
        </w:rPr>
        <w:t xml:space="preserve">Detección: se revisan la nacionalidad, la residencia y el domicilio del cliente y de su Beneficiario Controlador, el origen y destino de los recursos, las cuentas de origen y las contrapartes.</w:t>
      </w:r>
    </w:p>
    <w:p>
      <w:pPr>
        <w:pStyle w:val="ListParagraph"/>
        <w:numPr>
          <w:ilvl w:val="0"/>
          <w:numId w:val="1"/>
        </w:numPr>
        <w:spacing w:after="40"/>
      </w:pPr>
      <w:r>
        <w:rPr>
          <w:rFonts w:ascii="Calibri" w:cs="Calibri" w:eastAsia="Calibri" w:hAnsi="Calibri"/>
          <w:sz w:val="20"/>
          <w:szCs w:val="20"/>
        </w:rPr>
        <w:t xml:space="preserve">Cliente no residente vinculado con esas jurisdicciones: se clasifica siempre como de Riesgo alto y se recaban y asientan las razones por las que celebra el acto u operación en México (Art. 23 Bis 4).</w:t>
      </w:r>
    </w:p>
    <w:p>
      <w:pPr>
        <w:pStyle w:val="ListParagraph"/>
        <w:numPr>
          <w:ilvl w:val="0"/>
          <w:numId w:val="1"/>
        </w:numPr>
        <w:spacing w:after="40"/>
      </w:pPr>
      <w:r>
        <w:rPr>
          <w:rFonts w:ascii="Calibri" w:cs="Calibri" w:eastAsia="Calibri" w:hAnsi="Calibri"/>
          <w:sz w:val="20"/>
          <w:szCs w:val="20"/>
        </w:rPr>
        <w:t xml:space="preserve">Cliente residente con vínculo con esas jurisdicciones (recursos, cuentas, contrapartes o Beneficiario Controlador): el indicador geográfico de la Metodología EBR se califica en nivel alto y se aplican las medidas reforzadas de este Manual.</w:t>
      </w:r>
    </w:p>
    <w:p>
      <w:pPr>
        <w:pStyle w:val="ListParagraph"/>
        <w:numPr>
          <w:ilvl w:val="0"/>
          <w:numId w:val="1"/>
        </w:numPr>
        <w:spacing w:after="40"/>
      </w:pPr>
      <w:r>
        <w:rPr>
          <w:rFonts w:ascii="Calibri" w:cs="Calibri" w:eastAsia="Calibri" w:hAnsi="Calibri"/>
          <w:sz w:val="20"/>
          <w:szCs w:val="20"/>
        </w:rPr>
        <w:t xml:space="preserve">El sistema de alertas genera una alerta automática para todo acto u operación vinculado con esas jurisdicciones (Art. 41, fr. V), que se analiza conforme al procedimiento de análisis de alertas de este Manual. Si no puede documentarse una razón económica legítima, se aplican los criterios de abstención y, en su caso, se presenta el Aviso de 24 horas.</w:t>
      </w:r>
    </w:p>
    <w:p>
      <w:pPr>
        <w:shd w:fill="1F3864" w:val="clear"/>
        <w:spacing w:after="100" w:before="220"/>
      </w:pPr>
      <w:r>
        <w:rPr>
          <w:rFonts w:ascii="Calibri" w:cs="Calibri" w:eastAsia="Calibri" w:hAnsi="Calibri"/>
          <w:b/>
          <w:bCs/>
          <w:color w:val="FFFFFF"/>
          <w:sz w:val="22"/>
          <w:szCs w:val="22"/>
        </w:rPr>
        <w:t xml:space="preserve">Capítulo 6: Personas Expuestas Políticamente (PEP's) y Beneficiario Controlador</w:t>
      </w:r>
    </w:p>
    <w:p>
      <w:pPr>
        <w:spacing w:after="110"/>
      </w:pPr>
      <w:r>
        <w:rPr>
          <w:rFonts w:ascii="Calibri" w:cs="Calibri" w:eastAsia="Calibri" w:hAnsi="Calibri"/>
          <w:sz w:val="20"/>
          <w:szCs w:val="20"/>
        </w:rPr>
        <w:t xml:space="preserve">Se considera PEP a la persona física que desempeña o ha desempeñado funciones públicas prominentes en territorio nacional o en el extranjero, así como a su cónyuge, concubina o concubinario, parientes por consanguinidad o afinidad hasta el segundo grado, y a los socios o asociados con quienes mantenga vínculos patrimoniales (Art. 23 Quáter RCG). La calidad de PEP nacional se conserva durante el año siguiente a aquel en que la persona dejó el cargo. Ver Política de PEP's, Documento D8-COR.</w:t>
      </w:r>
    </w:p>
    <w:p>
      <w:pPr>
        <w:spacing w:after="110"/>
      </w:pPr>
      <w:r>
        <w:rPr>
          <w:rFonts w:ascii="Calibri" w:cs="Calibri" w:eastAsia="Calibri" w:hAnsi="Calibri"/>
          <w:b/>
          <w:sz w:val="20"/>
          <w:szCs w:val="20"/>
        </w:rPr>
        <w:t xml:space="preserve">Beneficiario Controlador (Art. 18, fr. III, de la Ley).</w:t>
      </w:r>
      <w:r>
        <w:rPr>
          <w:rFonts w:ascii="Calibri" w:cs="Calibri" w:eastAsia="Calibri" w:hAnsi="Calibri"/>
          <w:b w:val="0"/>
          <w:sz w:val="20"/>
          <w:szCs w:val="20"/>
        </w:rPr>
        <w:t xml:space="preserve"> Cuando el cliente sea persona moral, fideicomiso u otra figura jurídica, el Corredor recaba los documentos que permitan identificar a su Beneficiario Controlador; cuando sea persona física, recaba la declaración acerca de si tiene o no conocimiento de la existencia de un Beneficiario Controlador y, en su caso, la documentación que permita identificarlo — ver Sección E del Documento D7-COR.</w:t>
      </w:r>
    </w:p>
    <w:p>
      <w:pPr>
        <w:spacing w:after="110"/>
      </w:pPr>
      <w:r>
        <w:rPr>
          <w:rFonts w:ascii="Calibri" w:cs="Calibri" w:eastAsia="Calibri" w:hAnsi="Calibri"/>
          <w:b/>
          <w:sz w:val="20"/>
          <w:szCs w:val="20"/>
        </w:rPr>
        <w:t xml:space="preserve">Orden de prelación (Art. 23 Quinquies RCG):</w:t>
      </w:r>
      <w:r>
        <w:rPr>
          <w:rFonts w:ascii="Calibri" w:cs="Calibri" w:eastAsia="Calibri" w:hAnsi="Calibri"/>
          <w:b w:val="0"/>
          <w:sz w:val="20"/>
          <w:szCs w:val="20"/>
        </w:rPr>
        <w:t xml:space="preserve"> (i) la persona o personas físicas que tengan el 25% o más del capital social; (ii) si no existe, quien controle a la persona moral por otros medios; (iii) en último término, el funcionario administrativo de mayor grado. En fideicomisos se aplica el Art. 23 Quinquies 1, ascendiendo en la cadena de titularidad hasta la persona física que ejerza el control efectivo. No se exige la identificación del Beneficiario Controlador en los supuestos de exención del Art. 23 Quinquies 2 RCG (entre otros, quienes cotizan en bolsa y las personas morales de los Anexos 4 Bis, 6 Bis, 7-A y 7 Bis-A).</w:t>
      </w:r>
    </w:p>
    <w:p>
      <w:pPr>
        <w:keepNext/>
        <w:spacing w:after="60" w:before="120"/>
      </w:pPr>
      <w:r>
        <w:rPr>
          <w:rFonts w:ascii="Calibri" w:cs="Calibri" w:eastAsia="Calibri" w:hAnsi="Calibri"/>
          <w:b/>
          <w:bCs/>
          <w:color w:val="0A1628"/>
          <w:sz w:val="19"/>
          <w:szCs w:val="19"/>
        </w:rPr>
        <w:t xml:space="preserve">6.1 Fuentes, validación de coincidencias y monitoreo de PEP (Art. 37 Bis, fr. IV, RCG)</w:t>
      </w:r>
    </w:p>
    <w:p>
      <w:pPr>
        <w:pStyle w:val="ListParagraph"/>
        <w:numPr>
          <w:ilvl w:val="0"/>
          <w:numId w:val="1"/>
        </w:numPr>
        <w:spacing w:after="40"/>
      </w:pPr>
      <w:r>
        <w:rPr>
          <w:rFonts w:ascii="Calibri" w:cs="Calibri" w:eastAsia="Calibri" w:hAnsi="Calibri"/>
          <w:sz w:val="20"/>
          <w:szCs w:val="20"/>
        </w:rPr>
        <w:t xml:space="preserve">La consulta de PEP nacionales se realiza en la aplicación Consulta PEP 2.0 de la UIF, con la e.firma del alta y registro, en cuanto esté habilitada para quienes realizan Actividades Vulnerables (nueve meses después de la entrada en vigor del Acuerdo 115/2026, Transitorio Décimo). Mientras tanto, se recaba la declaración del cliente sobre su calidad de PEP y se consultan fuentes públicas oficiales.</w:t>
      </w:r>
    </w:p>
    <w:p>
      <w:pPr>
        <w:pStyle w:val="ListParagraph"/>
        <w:numPr>
          <w:ilvl w:val="0"/>
          <w:numId w:val="1"/>
        </w:numPr>
        <w:spacing w:after="40"/>
      </w:pPr>
      <w:r>
        <w:rPr>
          <w:rFonts w:ascii="Calibri" w:cs="Calibri" w:eastAsia="Calibri" w:hAnsi="Calibri"/>
          <w:sz w:val="20"/>
          <w:szCs w:val="20"/>
        </w:rPr>
        <w:t xml:space="preserve">Las PEP extranjeras se identifican mediante la declaración del cliente y fuentes públicas o listas de organismos internacionales reconocidos; se clasifican siempre como Riesgo alto (Art. 23 Bis 4 RCG).</w:t>
      </w:r>
    </w:p>
    <w:p>
      <w:pPr>
        <w:pStyle w:val="ListParagraph"/>
        <w:numPr>
          <w:ilvl w:val="0"/>
          <w:numId w:val="1"/>
        </w:numPr>
        <w:spacing w:after="40"/>
      </w:pPr>
      <w:r>
        <w:rPr>
          <w:rFonts w:ascii="Calibri" w:cs="Calibri" w:eastAsia="Calibri" w:hAnsi="Calibri"/>
          <w:sz w:val="20"/>
          <w:szCs w:val="20"/>
        </w:rPr>
        <w:t xml:space="preserve">Las coincidencias se validan con la fecha de nacimiento, la CURP o el RFC y el cargo, con el mismo tratamiento de falsos positivos del Capítulo 15; el resultado se documenta en el expediente.</w:t>
      </w:r>
    </w:p>
    <w:p>
      <w:pPr>
        <w:pStyle w:val="ListParagraph"/>
        <w:numPr>
          <w:ilvl w:val="0"/>
          <w:numId w:val="1"/>
        </w:numPr>
        <w:spacing w:after="40"/>
      </w:pPr>
      <w:r>
        <w:rPr>
          <w:rFonts w:ascii="Calibri" w:cs="Calibri" w:eastAsia="Calibri" w:hAnsi="Calibri"/>
          <w:sz w:val="20"/>
          <w:szCs w:val="20"/>
        </w:rPr>
        <w:t xml:space="preserve">Monitoreo: la calidad de PEP se verifica antes de cada acto u operación y en cada reevaluación semestral; la PEP nacional conserva esa calidad durante el año siguiente a aquel en que dejó el cargo (Art. 23 Quáter RCG).</w:t>
      </w:r>
    </w:p>
    <w:p>
      <w:pPr>
        <w:shd w:fill="1F3864" w:val="clear"/>
        <w:spacing w:after="100" w:before="220"/>
      </w:pPr>
      <w:r>
        <w:rPr>
          <w:rFonts w:ascii="Calibri" w:cs="Calibri" w:eastAsia="Calibri" w:hAnsi="Calibri"/>
          <w:b/>
          <w:bCs/>
          <w:color w:val="FFFFFF"/>
          <w:sz w:val="22"/>
          <w:szCs w:val="22"/>
        </w:rPr>
        <w:t xml:space="preserve">Capítulo 7: Operaciones Inusuales</w:t>
      </w:r>
    </w:p>
    <w:p>
      <w:pPr>
        <w:spacing w:after="110"/>
      </w:pPr>
      <w:r>
        <w:rPr>
          <w:rFonts w:ascii="Calibri" w:cs="Calibri" w:eastAsia="Calibri" w:hAnsi="Calibri"/>
          <w:sz w:val="20"/>
          <w:szCs w:val="20"/>
        </w:rPr>
        <w:t xml:space="preserve">El catálogo de señales de alerta específicas por inciso, así como el procedimiento de reporte interno y presentación del Aviso dentro de las 24 horas siguientes a la detección (Art. 18, fr. VI, de la Ley; Arts. 26 Bis y 26 Bis 1 RCG), se encuentra en el Documento D9-COR.</w:t>
      </w:r>
    </w:p>
    <w:p>
      <w:pPr>
        <w:shd w:fill="1F3864" w:val="clear"/>
        <w:spacing w:after="100" w:before="220"/>
      </w:pPr>
      <w:r>
        <w:rPr>
          <w:rFonts w:ascii="Calibri" w:cs="Calibri" w:eastAsia="Calibri" w:hAnsi="Calibri"/>
          <w:b/>
          <w:bCs/>
          <w:color w:val="FFFFFF"/>
          <w:sz w:val="22"/>
          <w:szCs w:val="22"/>
        </w:rPr>
        <w:t xml:space="preserve">Capítulo 8: Restricción de Pagos en Efectivo y Forma de Pago</w:t>
      </w:r>
    </w:p>
    <w:p>
      <w:pPr>
        <w:spacing w:after="110"/>
      </w:pPr>
      <w:r>
        <w:rPr>
          <w:rFonts w:ascii="Calibri" w:cs="Calibri" w:eastAsia="Calibri" w:hAnsi="Calibri"/>
          <w:sz w:val="20"/>
          <w:szCs w:val="20"/>
        </w:rPr>
        <w:t xml:space="preserve">Conforme al artículo 32 LFPIORPI, está PROHIBIDO liquidar o pagar, o aceptar la liquidación o el pago, con monedas y billetes, nacionales o extranjeros, o con metales preciosos — aun cuando el pago se realice en efectivo por conducto de una Entidad Financiera — los actos de sus fracciones. Para la Correduría son relevantes: la fracción VI — transmisión de dominio o constitución de derechos de cualquier naturaleza sobre los títulos representativos de partes sociales o acciones, por un valor igual o superior a 3,210 UMA (~$376,565 MXN 2026); la fracción II — transmisión de propiedad o constitución de derechos reales sobre vehículos aéreos, marítimos o terrestres (por ejemplo, hipotecas sobre buques o aeronaves), por igual umbral; y la fracción VIII — consignación de pago relacionada con esos actos. La fracción I (inmuebles) no es aplicable porque el Corredor no actúa como fedatario en actos sobre inmuebles.</w:t>
      </w:r>
    </w:p>
    <w:p>
      <w:pPr>
        <w:spacing w:after="110"/>
      </w:pPr>
      <w:r>
        <w:rPr>
          <w:rFonts w:ascii="Calibri" w:cs="Calibri" w:eastAsia="Calibri" w:hAnsi="Calibri"/>
          <w:b w:val="0"/>
          <w:sz w:val="20"/>
          <w:szCs w:val="20"/>
        </w:rPr>
        <w:t xml:space="preserve">Conforme al artículo 33, en los instrumentos en que haga constar actos del artículo 32, el Corredor identifica la forma en que se pagan las obligaciones cuando la operación tenga un valor igual o superior a 8,025 UMA (~$941,413 MXN); si el valor es inferior y el acto fue pagado total o parcialmente antes de la firma, basta la declaración que bajo protesta de decir verdad hagan las personas Clientes o Usuarias. </w:t>
      </w:r>
      <w:r>
        <w:rPr>
          <w:rFonts w:ascii="Calibri" w:cs="Calibri" w:eastAsia="Calibri" w:hAnsi="Calibri"/>
          <w:b/>
          <w:sz w:val="20"/>
          <w:szCs w:val="20"/>
        </w:rPr>
        <w:t xml:space="preserve">Criterio del Programa:</w:t>
      </w:r>
      <w:r>
        <w:rPr>
          <w:rFonts w:ascii="Calibri" w:cs="Calibri" w:eastAsia="Calibri" w:hAnsi="Calibri"/>
          <w:b w:val="0"/>
          <w:sz w:val="20"/>
          <w:szCs w:val="20"/>
        </w:rPr>
        <w:t xml:space="preserve"> en toda compraventa de acciones o partes sociales de 3,210 UMA o más, la póliza asienta la forma de pago y la manifestación de que no se utilizó efectivo. El incumplimiento del artículo 33 se sanciona con 2,000 a 10,000 UMA (Arts. 53, fr. V, y 54, fr. II).</w:t>
      </w:r>
    </w:p>
    <w:p>
      <w:pPr>
        <w:shd w:fill="1F3864" w:val="clear"/>
        <w:spacing w:after="100" w:before="220"/>
      </w:pPr>
      <w:r>
        <w:rPr>
          <w:rFonts w:ascii="Calibri" w:cs="Calibri" w:eastAsia="Calibri" w:hAnsi="Calibri"/>
          <w:b/>
          <w:bCs/>
          <w:color w:val="FFFFFF"/>
          <w:sz w:val="22"/>
          <w:szCs w:val="22"/>
        </w:rPr>
        <w:t xml:space="preserve">Capítulo 9: Presentación de Avisos ante el SAT</w:t>
      </w:r>
    </w:p>
    <w:p>
      <w:pPr>
        <w:spacing w:after="110"/>
      </w:pPr>
      <w:r>
        <w:rPr>
          <w:rFonts w:ascii="Calibri" w:cs="Calibri" w:eastAsia="Calibri" w:hAnsi="Calibri"/>
          <w:sz w:val="20"/>
          <w:szCs w:val="20"/>
        </w:rPr>
        <w:t xml:space="preserve">Los Avisos se presentan a través del Portal en Internet, con la e.firma del Corredor, a más tardar el día 17 del mes inmediato siguiente a aquel en que se realizó el acto (Art. 23 de la Ley; Art. 24 RCG), uno por cada acto que cumpla la condición de Aviso (Art. 24 Bis 1 RCG). La fecha del acto se determina conforme a los artículos 5 y 24 del Reglamento. El canal fiscal alterno del Art. 24, último párrafo, de la Ley es exclusivo de los notarios y no aplica a la Correduría. Si en el mes no hubo actos objeto de Aviso, se presenta el informe del Art. 25 RCG. El control mensual de actos y Avisos se documenta en el Documento D12-COR; el alta y registro, en el Documento D3-COR.</w:t>
      </w:r>
    </w:p>
    <w:p>
      <w:pPr>
        <w:keepNext/>
        <w:spacing w:after="60" w:before="120"/>
      </w:pPr>
      <w:r>
        <w:rPr>
          <w:rFonts w:ascii="Calibri" w:cs="Calibri" w:eastAsia="Calibri" w:hAnsi="Calibri"/>
          <w:b/>
          <w:bCs/>
          <w:color w:val="0A1628"/>
          <w:sz w:val="19"/>
          <w:szCs w:val="19"/>
        </w:rPr>
        <w:t xml:space="preserve">9.1 Envío, control de calidad y acuses (Art. 37 Bis, fr. VI, RCG)</w:t>
      </w:r>
    </w:p>
    <w:p>
      <w:pPr>
        <w:pStyle w:val="ListParagraph"/>
        <w:numPr>
          <w:ilvl w:val="0"/>
          <w:numId w:val="1"/>
        </w:numPr>
        <w:spacing w:after="40"/>
      </w:pPr>
      <w:r>
        <w:rPr>
          <w:rFonts w:ascii="Calibri" w:cs="Calibri" w:eastAsia="Calibri" w:hAnsi="Calibri"/>
          <w:sz w:val="20"/>
          <w:szCs w:val="20"/>
        </w:rPr>
        <w:t xml:space="preserve">Vehículo: Portal en Internet del SAT, en el formato oficial vigente y con la e.firma del Corredor Público Titular con la que se realizó el alta y registro (Art. 24 RCG).</w:t>
      </w:r>
    </w:p>
    <w:p>
      <w:pPr>
        <w:pStyle w:val="ListParagraph"/>
        <w:numPr>
          <w:ilvl w:val="0"/>
          <w:numId w:val="1"/>
        </w:numPr>
        <w:spacing w:after="40"/>
      </w:pPr>
      <w:r>
        <w:rPr>
          <w:rFonts w:ascii="Calibri" w:cs="Calibri" w:eastAsia="Calibri" w:hAnsi="Calibri"/>
          <w:sz w:val="20"/>
          <w:szCs w:val="20"/>
        </w:rPr>
        <w:t xml:space="preserve">Calendario mensual (criterio del Programa): cierre de los actos u operaciones del mes el último día natural; preparación de los Avisos dentro de los primeros diez días; envío a más tardar el día 15, como margen de seguridad frente al límite legal del día 17.</w:t>
      </w:r>
    </w:p>
    <w:p>
      <w:pPr>
        <w:pStyle w:val="ListParagraph"/>
        <w:numPr>
          <w:ilvl w:val="0"/>
          <w:numId w:val="1"/>
        </w:numPr>
        <w:spacing w:after="40"/>
      </w:pPr>
      <w:r>
        <w:rPr>
          <w:rFonts w:ascii="Calibri" w:cs="Calibri" w:eastAsia="Calibri" w:hAnsi="Calibri"/>
          <w:sz w:val="20"/>
          <w:szCs w:val="20"/>
        </w:rPr>
        <w:t xml:space="preserve">Control de calidad previo al envío: se verifican contra el expediente los datos del Cliente o Usuaria y del Beneficiario Controlador (nombre, RFC, CURP), la fecha del acto u operación (Arts. 5 y 24 del Reglamento y 24 Bis RCG), el monto, la forma de pago y la descripción del acto. Siempre que sea posible, la verificación la realiza una persona distinta de quien capturó el Aviso.</w:t>
      </w:r>
    </w:p>
    <w:p>
      <w:pPr>
        <w:pStyle w:val="ListParagraph"/>
        <w:numPr>
          <w:ilvl w:val="0"/>
          <w:numId w:val="1"/>
        </w:numPr>
        <w:spacing w:after="40"/>
      </w:pPr>
      <w:r>
        <w:rPr>
          <w:rFonts w:ascii="Calibri" w:cs="Calibri" w:eastAsia="Calibri" w:hAnsi="Calibri"/>
          <w:sz w:val="20"/>
          <w:szCs w:val="20"/>
        </w:rPr>
        <w:t xml:space="preserve">Acuses: el acuse con sello digital se descarga y conserva en el expediente del cliente y en el control mensual (Documento D12-COR) durante diez años; cada mes se concilian los actos u operaciones realizados, los Avisos o el informe en ceros presentados y sus acuses.</w:t>
      </w:r>
    </w:p>
    <w:p>
      <w:pPr>
        <w:pStyle w:val="ListParagraph"/>
        <w:numPr>
          <w:ilvl w:val="0"/>
          <w:numId w:val="1"/>
        </w:numPr>
        <w:spacing w:after="40"/>
      </w:pPr>
      <w:r>
        <w:rPr>
          <w:rFonts w:ascii="Calibri" w:cs="Calibri" w:eastAsia="Calibri" w:hAnsi="Calibri"/>
          <w:sz w:val="20"/>
          <w:szCs w:val="20"/>
        </w:rPr>
        <w:t xml:space="preserve">Correcciones: si se detecta un error en un Aviso presentado, se presenta el Aviso modificatorio disponible en el Portal y se documentan la causa y la fecha de corrección.</w:t>
      </w:r>
    </w:p>
    <w:p>
      <w:pPr>
        <w:pStyle w:val="ListParagraph"/>
        <w:numPr>
          <w:ilvl w:val="0"/>
          <w:numId w:val="1"/>
        </w:numPr>
        <w:spacing w:after="40"/>
      </w:pPr>
      <w:r>
        <w:rPr>
          <w:rFonts w:ascii="Calibri" w:cs="Calibri" w:eastAsia="Calibri" w:hAnsi="Calibri"/>
          <w:sz w:val="20"/>
          <w:szCs w:val="20"/>
        </w:rPr>
        <w:t xml:space="preserve">Avisos de 24 horas: el análisis que lleva a presentar —o a no presentar— un Aviso por sospecha o por hechos o indicios se documenta por escrito, y su contenido se mantiene en estricta confidencialidad.</w:t>
      </w:r>
    </w:p>
    <w:p>
      <w:pPr>
        <w:shd w:fill="1F3864" w:val="clear"/>
        <w:spacing w:after="100" w:before="220"/>
      </w:pPr>
      <w:r>
        <w:rPr>
          <w:rFonts w:ascii="Calibri" w:cs="Calibri" w:eastAsia="Calibri" w:hAnsi="Calibri"/>
          <w:b/>
          <w:bCs/>
          <w:color w:val="FFFFFF"/>
          <w:sz w:val="22"/>
          <w:szCs w:val="22"/>
        </w:rPr>
        <w:t xml:space="preserve">Capítulo 10: Resguardo Documental</w:t>
      </w:r>
    </w:p>
    <w:p>
      <w:pPr>
        <w:spacing w:after="110"/>
      </w:pPr>
      <w:r>
        <w:rPr>
          <w:rFonts w:ascii="Calibri" w:cs="Calibri" w:eastAsia="Calibri" w:hAnsi="Calibri"/>
          <w:sz w:val="20"/>
          <w:szCs w:val="20"/>
        </w:rPr>
        <w:t xml:space="preserve">Aplica la Política de Resguardo Documental, Documento D10-COR — plazo de conservación de al menos 10 años conforme al artículo 18, fracción IV, sin perjuicio de las obligaciones de conservación del archivo y del libro de registro que impone la Ley Federal de Correduría Pública.</w:t>
      </w:r>
    </w:p>
    <w:p>
      <w:pPr>
        <w:keepNext/>
        <w:spacing w:after="60" w:before="120"/>
      </w:pPr>
      <w:r>
        <w:rPr>
          <w:rFonts w:ascii="Calibri" w:cs="Calibri" w:eastAsia="Calibri" w:hAnsi="Calibri"/>
          <w:b/>
          <w:bCs/>
          <w:color w:val="0A1628"/>
          <w:sz w:val="19"/>
          <w:szCs w:val="19"/>
        </w:rPr>
        <w:t xml:space="preserve">10.1 Integridad, acceso, respaldo y recuperación (Art. 37 Bis, fr. VII, RCG)</w:t>
      </w:r>
    </w:p>
    <w:p>
      <w:pPr>
        <w:pStyle w:val="ListParagraph"/>
        <w:numPr>
          <w:ilvl w:val="0"/>
          <w:numId w:val="1"/>
        </w:numPr>
        <w:spacing w:after="40"/>
      </w:pPr>
      <w:r>
        <w:rPr>
          <w:rFonts w:ascii="Calibri" w:cs="Calibri" w:eastAsia="Calibri" w:hAnsi="Calibri"/>
          <w:sz w:val="20"/>
          <w:szCs w:val="20"/>
        </w:rPr>
        <w:t xml:space="preserve">Cada Cliente o Usuaria tiene un expediente único (físico, digital o mixto) con un índice de su contenido; los documentos digitalizados conservan su legibilidad y, cuando proceda, se resguarda el original.</w:t>
      </w:r>
    </w:p>
    <w:p>
      <w:pPr>
        <w:pStyle w:val="ListParagraph"/>
        <w:numPr>
          <w:ilvl w:val="0"/>
          <w:numId w:val="1"/>
        </w:numPr>
        <w:spacing w:after="40"/>
      </w:pPr>
      <w:r>
        <w:rPr>
          <w:rFonts w:ascii="Calibri" w:cs="Calibri" w:eastAsia="Calibri" w:hAnsi="Calibri"/>
          <w:sz w:val="20"/>
          <w:szCs w:val="20"/>
        </w:rPr>
        <w:t xml:space="preserve">Integridad: los registros no se alteran; las correcciones se hacen mediante una nueva versión fechada que conserva la anterior.</w:t>
      </w:r>
    </w:p>
    <w:p>
      <w:pPr>
        <w:pStyle w:val="ListParagraph"/>
        <w:numPr>
          <w:ilvl w:val="0"/>
          <w:numId w:val="1"/>
        </w:numPr>
        <w:spacing w:after="40"/>
      </w:pPr>
      <w:r>
        <w:rPr>
          <w:rFonts w:ascii="Calibri" w:cs="Calibri" w:eastAsia="Calibri" w:hAnsi="Calibri"/>
          <w:sz w:val="20"/>
          <w:szCs w:val="20"/>
        </w:rPr>
        <w:t xml:space="preserve">Acceso: restringido a las personas autorizadas en la sección de protección de datos de este Manual y al auditor.</w:t>
      </w:r>
    </w:p>
    <w:p>
      <w:pPr>
        <w:pStyle w:val="ListParagraph"/>
        <w:numPr>
          <w:ilvl w:val="0"/>
          <w:numId w:val="1"/>
        </w:numPr>
        <w:spacing w:after="40"/>
      </w:pPr>
      <w:r>
        <w:rPr>
          <w:rFonts w:ascii="Calibri" w:cs="Calibri" w:eastAsia="Calibri" w:hAnsi="Calibri"/>
          <w:sz w:val="20"/>
          <w:szCs w:val="20"/>
        </w:rPr>
        <w:t xml:space="preserve">Respaldo y recuperación: respaldo de la información digital al menos una vez por semana en una ubicación distinta de la principal y prueba anual de recuperación, documentada (criterio del Programa).</w:t>
      </w:r>
    </w:p>
    <w:p>
      <w:pPr>
        <w:pStyle w:val="ListParagraph"/>
        <w:numPr>
          <w:ilvl w:val="0"/>
          <w:numId w:val="1"/>
        </w:numPr>
        <w:spacing w:after="40"/>
      </w:pPr>
      <w:r>
        <w:rPr>
          <w:rFonts w:ascii="Calibri" w:cs="Calibri" w:eastAsia="Calibri" w:hAnsi="Calibri"/>
          <w:sz w:val="20"/>
          <w:szCs w:val="20"/>
        </w:rPr>
        <w:t xml:space="preserve">Plazos y lugar de conservación: conforme al Documento D10-COR.</w:t>
      </w:r>
    </w:p>
    <w:p>
      <w:pPr>
        <w:shd w:fill="1F3864" w:val="clear"/>
        <w:spacing w:after="100" w:before="220"/>
      </w:pPr>
      <w:r>
        <w:rPr>
          <w:rFonts w:ascii="Calibri" w:cs="Calibri" w:eastAsia="Calibri" w:hAnsi="Calibri"/>
          <w:b/>
          <w:bCs/>
          <w:color w:val="FFFFFF"/>
          <w:sz w:val="22"/>
          <w:szCs w:val="22"/>
        </w:rPr>
        <w:t xml:space="preserve">Capítulo 11: Capacitación</w:t>
      </w:r>
    </w:p>
    <w:p>
      <w:pPr>
        <w:spacing w:after="110"/>
      </w:pPr>
      <w:r>
        <w:rPr>
          <w:rFonts w:ascii="Calibri" w:cs="Calibri" w:eastAsia="Calibri" w:hAnsi="Calibri"/>
          <w:sz w:val="20"/>
          <w:szCs w:val="20"/>
        </w:rPr>
        <w:t xml:space="preserve">Aplica el Programa Anual de Capacitación, Documento D11-COR, con los casos prácticos (D11B-COR) y la evaluación de comprensión (D11C-COR) adaptados a la correduría pública. Los cursos se imparten al menos una vez al año, por instructores con experiencia acreditable de al menos cinco años en la materia (Art. 39 Bis RCG), y su evidencia se conserva por diez años (Art. 39 Bis 1 RCG).</w:t>
      </w:r>
    </w:p>
    <w:p>
      <w:pPr>
        <w:keepNext/>
        <w:spacing w:after="60" w:before="120"/>
      </w:pPr>
      <w:r>
        <w:rPr>
          <w:rFonts w:ascii="Calibri" w:cs="Calibri" w:eastAsia="Calibri" w:hAnsi="Calibri"/>
          <w:b/>
          <w:bCs/>
          <w:color w:val="0A1628"/>
          <w:sz w:val="19"/>
          <w:szCs w:val="19"/>
        </w:rPr>
        <w:t xml:space="preserve">11.1 Evaluación y medidas ante resultados no satisfactorios (Art. 39 Bis 1 RCG)</w:t>
      </w:r>
    </w:p>
    <w:p>
      <w:pPr>
        <w:pStyle w:val="ListParagraph"/>
        <w:numPr>
          <w:ilvl w:val="0"/>
          <w:numId w:val="1"/>
        </w:numPr>
        <w:spacing w:after="40"/>
      </w:pPr>
      <w:r>
        <w:rPr>
          <w:rFonts w:ascii="Calibri" w:cs="Calibri" w:eastAsia="Calibri" w:hAnsi="Calibri"/>
          <w:sz w:val="20"/>
          <w:szCs w:val="20"/>
        </w:rPr>
        <w:t xml:space="preserve">Al concluir cada curso, los participantes presentan la evaluación de conocimientos del Documento D11C-COR; la calificación mínima aprobatoria es la que fija ese documento (aproximadamente 70 %). La constancia de participación solo se expide a quien aprueba.</w:t>
      </w:r>
    </w:p>
    <w:p>
      <w:pPr>
        <w:pStyle w:val="ListParagraph"/>
        <w:numPr>
          <w:ilvl w:val="0"/>
          <w:numId w:val="1"/>
        </w:numPr>
        <w:spacing w:after="40"/>
      </w:pPr>
      <w:r>
        <w:rPr>
          <w:rFonts w:ascii="Calibri" w:cs="Calibri" w:eastAsia="Calibri" w:hAnsi="Calibri"/>
          <w:sz w:val="20"/>
          <w:szCs w:val="20"/>
        </w:rPr>
        <w:t xml:space="preserve">Primera reprobación: capacitación remedial dentro de los quince días hábiles siguientes y nueva evaluación.</w:t>
      </w:r>
    </w:p>
    <w:p>
      <w:pPr>
        <w:pStyle w:val="ListParagraph"/>
        <w:numPr>
          <w:ilvl w:val="0"/>
          <w:numId w:val="1"/>
        </w:numPr>
        <w:spacing w:after="40"/>
      </w:pPr>
      <w:r>
        <w:rPr>
          <w:rFonts w:ascii="Calibri" w:cs="Calibri" w:eastAsia="Calibri" w:hAnsi="Calibri"/>
          <w:sz w:val="20"/>
          <w:szCs w:val="20"/>
        </w:rPr>
        <w:t xml:space="preserve">Segunda reprobación: la persona se retira temporalmente de las funciones de atención al público, identificación de clientes, envío de Avisos o administración de recursos hasta que acredite la evaluación; mientras tanto, actúa bajo supervisión directa.</w:t>
      </w:r>
    </w:p>
    <w:p>
      <w:pPr>
        <w:pStyle w:val="ListParagraph"/>
        <w:numPr>
          <w:ilvl w:val="0"/>
          <w:numId w:val="1"/>
        </w:numPr>
        <w:spacing w:after="40"/>
      </w:pPr>
      <w:r>
        <w:rPr>
          <w:rFonts w:ascii="Calibri" w:cs="Calibri" w:eastAsia="Calibri" w:hAnsi="Calibri"/>
          <w:sz w:val="20"/>
          <w:szCs w:val="20"/>
        </w:rPr>
        <w:t xml:space="preserve">Reincidencia o negativa injustificada a capacitarse: se aplican las medidas disciplinarias previstas en el reglamento interior de trabajo o en el contrato respectivo, conforme a la legislación laboral.</w:t>
      </w:r>
    </w:p>
    <w:p>
      <w:pPr>
        <w:pStyle w:val="ListParagraph"/>
        <w:numPr>
          <w:ilvl w:val="0"/>
          <w:numId w:val="1"/>
        </w:numPr>
        <w:spacing w:after="40"/>
      </w:pPr>
      <w:r>
        <w:rPr>
          <w:rFonts w:ascii="Calibri" w:cs="Calibri" w:eastAsia="Calibri" w:hAnsi="Calibri"/>
          <w:sz w:val="20"/>
          <w:szCs w:val="20"/>
        </w:rPr>
        <w:t xml:space="preserve">El personal que ingrese a áreas de atención al público o de administración de recursos se capacita antes de iniciar funciones o al mismo tiempo (Art. 39 Bis 1, tercer párrafo). Las evaluaciones, constancias, listas de asistencia y medidas aplicadas se conservan por diez años (Documento D11-COR).</w:t>
      </w:r>
    </w:p>
    <w:p>
      <w:pPr>
        <w:shd w:fill="1F3864" w:val="clear"/>
        <w:spacing w:after="100" w:before="220"/>
      </w:pPr>
      <w:r>
        <w:rPr>
          <w:rFonts w:ascii="Calibri" w:cs="Calibri" w:eastAsia="Calibri" w:hAnsi="Calibri"/>
          <w:b/>
          <w:bCs/>
          <w:color w:val="FFFFFF"/>
          <w:sz w:val="22"/>
          <w:szCs w:val="22"/>
        </w:rPr>
        <w:t xml:space="preserve">Capítulo 12: Auditoría</w:t>
      </w:r>
    </w:p>
    <w:p>
      <w:pPr>
        <w:spacing w:after="110"/>
      </w:pPr>
      <w:r>
        <w:rPr>
          <w:rFonts w:ascii="Calibri" w:cs="Calibri" w:eastAsia="Calibri" w:hAnsi="Calibri"/>
          <w:sz w:val="20"/>
          <w:szCs w:val="20"/>
        </w:rPr>
        <w:t xml:space="preserve">La auditoría es anual, por año calendario (Art. 18, fr. XI, de la Ley; Arts. 42 a 51 RCG), y evalúa y dictamina la efectividad del cumplimiento de la Ley, su Reglamento y las RCG; el primer periodo es el año 2028. Cuando el Riesgo de la Correduría, determinado conforme a la sección 5.1, sea bajo o medio, puede realizarla un área de auditoría interna independiente o una persona auditora externa independiente; cuando sea alto, una persona auditora externa independiente con título y cédula en derecho, contaduría, finanzas, administración o informática, al menos tres años de experiencia en la materia y certificación vigente de la UIF. Si la Correduría no cuenta con un área de auditoría interna independiente del Corredor Público Titular, la revisión se encomienda a una persona auditora externa. El dictamen se presenta directamente al Corredor (Art. 42 RCG), se estructura en siete secciones y califica cada obligación como Cumple, Cumple mayoritariamente, Cumple parcialmente, No cumple o No aplica (Arts. 47 y 48 RCG). Formato: Documento D13-COR.</w:t>
      </w:r>
    </w:p>
    <w:p>
      <w:pPr>
        <w:keepNext/>
        <w:spacing w:after="60" w:before="120"/>
      </w:pPr>
      <w:r>
        <w:rPr>
          <w:rFonts w:ascii="Calibri" w:cs="Calibri" w:eastAsia="Calibri" w:hAnsi="Calibri"/>
          <w:b/>
          <w:bCs/>
          <w:color w:val="0A1628"/>
          <w:sz w:val="19"/>
          <w:szCs w:val="19"/>
        </w:rPr>
        <w:t xml:space="preserve">12.1 Control interno y supervisión continua (Art. 37 Bis, fr. XII, RCG)</w:t>
      </w:r>
    </w:p>
    <w:p>
      <w:pPr>
        <w:spacing w:after="110"/>
      </w:pPr>
      <w:r>
        <w:rPr>
          <w:rFonts w:ascii="Calibri" w:cs="Calibri" w:eastAsia="Calibri" w:hAnsi="Calibri"/>
          <w:sz w:val="20"/>
          <w:szCs w:val="20"/>
        </w:rPr>
        <w:t xml:space="preserve">Además de la auditoría anual, se aplican los siguientes controles:</w:t>
      </w:r>
    </w:p>
    <w:p>
      <w:pPr>
        <w:pStyle w:val="ListParagraph"/>
        <w:numPr>
          <w:ilvl w:val="0"/>
          <w:numId w:val="1"/>
        </w:numPr>
        <w:spacing w:after="40"/>
      </w:pPr>
      <w:r>
        <w:rPr>
          <w:rFonts w:ascii="Calibri" w:cs="Calibri" w:eastAsia="Calibri" w:hAnsi="Calibri"/>
          <w:sz w:val="20"/>
          <w:szCs w:val="20"/>
        </w:rPr>
        <w:t xml:space="preserve">Control preventivo: antes de formalizar cada acto u operación, el Corredor Público Titular — o la persona que designe — verifica con una lista de control que el expediente esté completo, el Grado de Riesgo asignado, las listas y la calidad de PEP consultadas, la forma de pago documentada y, en su caso, la aprobación o constancia de PEP de Riesgo alto.</w:t>
      </w:r>
    </w:p>
    <w:p>
      <w:pPr>
        <w:pStyle w:val="ListParagraph"/>
        <w:numPr>
          <w:ilvl w:val="0"/>
          <w:numId w:val="1"/>
        </w:numPr>
        <w:spacing w:after="40"/>
      </w:pPr>
      <w:r>
        <w:rPr>
          <w:rFonts w:ascii="Calibri" w:cs="Calibri" w:eastAsia="Calibri" w:hAnsi="Calibri"/>
          <w:sz w:val="20"/>
          <w:szCs w:val="20"/>
        </w:rPr>
        <w:t xml:space="preserve">Control de detección mensual: conciliación de actos u operaciones, Avisos e informes y acuses (Documento D12-COR); revisión de las alertas abiertas y de los Grados de Riesgo con reevaluación vencida.</w:t>
      </w:r>
    </w:p>
    <w:p>
      <w:pPr>
        <w:pStyle w:val="ListParagraph"/>
        <w:numPr>
          <w:ilvl w:val="0"/>
          <w:numId w:val="1"/>
        </w:numPr>
        <w:spacing w:after="40"/>
      </w:pPr>
      <w:r>
        <w:rPr>
          <w:rFonts w:ascii="Calibri" w:cs="Calibri" w:eastAsia="Calibri" w:hAnsi="Calibri"/>
          <w:sz w:val="20"/>
          <w:szCs w:val="20"/>
        </w:rPr>
        <w:t xml:space="preserve">Revisión trimestral: muestra de al menos el 10 % de los expedientes del trimestre (mínimo cinco), revisada por el Corredor Público Titular, sobre expedientes integrados por el personal, o un tercero independiente cuando el propio Corredor los haya integrado, con hallazgos y acciones correctivas (criterio del Programa).</w:t>
      </w:r>
    </w:p>
    <w:p>
      <w:pPr>
        <w:pStyle w:val="ListParagraph"/>
        <w:numPr>
          <w:ilvl w:val="0"/>
          <w:numId w:val="1"/>
        </w:numPr>
        <w:spacing w:after="40"/>
      </w:pPr>
      <w:r>
        <w:rPr>
          <w:rFonts w:ascii="Calibri" w:cs="Calibri" w:eastAsia="Calibri" w:hAnsi="Calibri"/>
          <w:sz w:val="20"/>
          <w:szCs w:val="20"/>
        </w:rPr>
        <w:t xml:space="preserve">Indicadores: porcentaje de expedientes completos, Avisos presentados en plazo, alertas atendidas en plazo y personal capacitado y acreditado.</w:t>
      </w:r>
    </w:p>
    <w:p>
      <w:pPr>
        <w:pStyle w:val="ListParagraph"/>
        <w:numPr>
          <w:ilvl w:val="0"/>
          <w:numId w:val="1"/>
        </w:numPr>
        <w:spacing w:after="40"/>
      </w:pPr>
      <w:r>
        <w:rPr>
          <w:rFonts w:ascii="Calibri" w:cs="Calibri" w:eastAsia="Calibri" w:hAnsi="Calibri"/>
          <w:sz w:val="20"/>
          <w:szCs w:val="20"/>
        </w:rPr>
        <w:t xml:space="preserve">Informe: el Corredor Público Titular documenta semestralmente los resultados, hallazgos y acciones correctivas con responsable y fecha; el auditor revisa su seguimiento en la auditoría anual.</w:t>
      </w:r>
    </w:p>
    <w:p>
      <w:pPr>
        <w:pStyle w:val="ListParagraph"/>
        <w:numPr>
          <w:ilvl w:val="0"/>
          <w:numId w:val="1"/>
        </w:numPr>
        <w:spacing w:after="40"/>
      </w:pPr>
      <w:r>
        <w:rPr>
          <w:rFonts w:ascii="Calibri" w:cs="Calibri" w:eastAsia="Calibri" w:hAnsi="Calibri"/>
          <w:sz w:val="20"/>
          <w:szCs w:val="20"/>
        </w:rPr>
        <w:t xml:space="preserve">Plan de seguimiento de observaciones: cada hallazgo del dictamen de auditoría y de la supervisión interna se registra con su acción correctiva, responsable y fecha compromiso —no mayor a 90 días para los calificados "No cumple" y a 180 días para "Cumple parcialmente" (criterio del Programa)—. El Corredor Público Titular da seguimiento trimestral, documenta el cierre con evidencia y presenta el estatus al siguiente auditor (Art. 42 RCG, programas de acción correctiva).</w:t>
      </w:r>
    </w:p>
    <w:p>
      <w:pPr>
        <w:shd w:fill="1F3864" w:val="clear"/>
        <w:spacing w:after="100" w:before="220"/>
      </w:pPr>
      <w:r>
        <w:rPr>
          <w:rFonts w:ascii="Calibri" w:cs="Calibri" w:eastAsia="Calibri" w:hAnsi="Calibri"/>
          <w:b/>
          <w:bCs/>
          <w:color w:val="FFFFFF"/>
          <w:sz w:val="22"/>
          <w:szCs w:val="22"/>
        </w:rPr>
        <w:t xml:space="preserve">Capítulo 13: Perfil Transaccional y Sistema de Alertas</w:t>
      </w:r>
    </w:p>
    <w:p>
      <w:pPr>
        <w:spacing w:after="110"/>
      </w:pPr>
      <w:r>
        <w:rPr>
          <w:rFonts w:ascii="Calibri" w:cs="Calibri" w:eastAsia="Calibri" w:hAnsi="Calibri"/>
          <w:sz w:val="20"/>
          <w:szCs w:val="20"/>
        </w:rPr>
        <w:t xml:space="preserve">La Correduría determina el Perfil Transaccional inicial de cada Cliente o Usuaria con base en la información que proporcione sobre los montos, frecuencia y tipo de actos que estima realizar (Art. 23 Ter 1 RCG), y lo incorpora a un sistema de alertas que permite detectar comportamientos que se aparten de lo esperado y que pudieran vincularse con los delitos de los artículos 139 Quáter o 400 Bis del Código Penal Federal (Art. 23 Ter 2 RCG). El Perfil Transaccional se reevalúa cuando menos cada seis meses. Toda alerta se documenta conforme al Documento D9-COR.</w:t>
      </w:r>
    </w:p>
    <w:p>
      <w:pPr>
        <w:keepNext/>
        <w:spacing w:after="60" w:before="120"/>
      </w:pPr>
      <w:r>
        <w:rPr>
          <w:rFonts w:ascii="Calibri" w:cs="Calibri" w:eastAsia="Calibri" w:hAnsi="Calibri"/>
          <w:b/>
          <w:bCs/>
          <w:color w:val="0A1628"/>
          <w:sz w:val="19"/>
          <w:szCs w:val="19"/>
        </w:rPr>
        <w:t xml:space="preserve">13.1 Parámetros del sistema de alertas y documentación de resultados (Art. 37 Bis, fr. V, RCG)</w:t>
      </w:r>
    </w:p>
    <w:p>
      <w:pPr>
        <w:spacing w:after="110"/>
      </w:pPr>
      <w:r>
        <w:rPr>
          <w:rFonts w:ascii="Calibri" w:cs="Calibri" w:eastAsia="Calibri" w:hAnsi="Calibri"/>
          <w:sz w:val="20"/>
          <w:szCs w:val="20"/>
        </w:rPr>
        <w:t xml:space="preserve">El sistema de alertas aplica, como mínimo, los parámetros siguientes: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300"/>
        <w:gridCol w:w="3500"/>
      </w:tblGrid>
      <w:tr>
        <w:trPr>
          <w:tblHeader/>
        </w:trPr>
        <w:tc>
          <w:tcPr>
            <w:tcW w:type="dxa" w:w="17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Alerta</w:t>
            </w:r>
          </w:p>
        </w:tc>
        <w:tc>
          <w:tcPr>
            <w:tcW w:type="dxa" w:w="4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Parámetro</w:t>
            </w:r>
          </w:p>
        </w:tc>
        <w:tc>
          <w:tcPr>
            <w:tcW w:type="dxa" w:w="35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Acción</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Monto</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El acto u operación, o la suma de los realizados en el mes, excede en más de 20 % el monto máximo mensual declarado por el cliente (criterio del Programa).</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Solicitar y documentar la justificación en ≤ 2 días hábiles; actualizar el Perfil Transaccional o escalar.</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Forma de pago</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Cambio a efectivo, pago por un tercero, o recursos de una cuenta no declarada o del extranjero.</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Detener la recepción de recursos hasta verificar el origen; el efectivo en los supuestos del Art. 32 de la Ley está prohibido.</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Frecuencia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Más actos u operaciones de los declarados en el periodo (p. ej., un segundo acto similar dentro de seis meses).</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Reevaluar el Grado de Riesgo y actualizar el expediente.</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Geografía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Recursos, domicilio o contrapartes vinculados con jurisdicciones de Riesgo.</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Clasificar como Riesgo alto cuando corresponda (Art. 23 Bis 4 RCG).</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Listas y PEP</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Coincidencia en listas o adquisición de la calidad de PEP.</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Aplicar el procedimiento de listas o la política de PEP's de este Manual.</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Avalúos</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Solicitudes sucesivas de avalúos del mismo bien o de bienes relacionados, con valores inmediatamente inferiores a 8,025 UMA.</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Analizar un posible fraccionamiento; considerar Aviso por sospecha (D9-COR).</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Sociedades</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Aumentos de capital o cesiones de acciones sucesivos sin justificación, o aportaciones de terceros sin relación aparente.</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Identificar el origen de las aportaciones y al Beneficiario Controlador.</w:t>
            </w:r>
          </w:p>
        </w:tc>
      </w:tr>
    </w:tbl>
    <w:p>
      <w:pPr>
        <w:spacing w:after="80"/>
      </w:pPr>
    </w:p>
    <w:p>
      <w:pPr>
        <w:spacing w:after="110"/>
      </w:pPr>
      <w:r>
        <w:rPr>
          <w:rFonts w:ascii="Calibri" w:cs="Calibri" w:eastAsia="Calibri" w:hAnsi="Calibri"/>
          <w:sz w:val="20"/>
          <w:szCs w:val="20"/>
        </w:rPr>
        <w:t xml:space="preserve">Cada alerta se registra con fecha, cliente, parámetro, análisis, decisión (descartada; Perfil actualizado; reclasificación del Grado de Riesgo; o análisis de Aviso) y responsable. Si una alerta no puede descartarse razonablemente, se analiza conforme al Documento D9-COR para determinar si procede el Aviso dentro de las 24 horas siguientes. Los registros se conservan diez años e integran los mecanismos automatizados.</w:t>
      </w:r>
    </w:p>
    <w:p>
      <w:pPr>
        <w:keepNext/>
        <w:spacing w:after="60" w:before="120"/>
      </w:pPr>
      <w:r>
        <w:rPr>
          <w:rFonts w:ascii="Calibri" w:cs="Calibri" w:eastAsia="Calibri" w:hAnsi="Calibri"/>
          <w:b/>
          <w:bCs/>
          <w:color w:val="0A1628"/>
          <w:sz w:val="19"/>
          <w:szCs w:val="19"/>
        </w:rPr>
        <w:t xml:space="preserve">13.2 Procedimiento interno de análisis y dictamen de alertas</w:t>
      </w:r>
    </w:p>
    <w:p>
      <w:pPr>
        <w:spacing w:after="110"/>
      </w:pPr>
      <w:r>
        <w:rPr>
          <w:rFonts w:ascii="Calibri" w:cs="Calibri" w:eastAsia="Calibri" w:hAnsi="Calibri"/>
          <w:sz w:val="20"/>
          <w:szCs w:val="20"/>
        </w:rPr>
        <w:t xml:space="preserve">Toda alerta —por desviación del Perfil Transaccional, señal de alerta, coincidencia en listas o PEP, o jurisdicción de Riesgo— sigue este flujo. Los plazos internos son criterio del Programa; el plazo de 24 horas es legal.</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600"/>
        <w:gridCol w:w="2600"/>
      </w:tblGrid>
      <w:tr>
        <w:trPr>
          <w:tblHeader/>
        </w:trPr>
        <w:tc>
          <w:tcPr>
            <w:tcW w:type="dxa" w:w="2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Etapa</w:t>
            </w:r>
          </w:p>
        </w:tc>
        <w:tc>
          <w:tcPr>
            <w:tcW w:type="dxa" w:w="46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Actividad</w:t>
            </w:r>
          </w:p>
        </w:tc>
        <w:tc>
          <w:tcPr>
            <w:tcW w:type="dxa" w:w="26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Plazo</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1. Registro</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Se registra la alerta con fecha, cliente, origen y parámetro activado.</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El mismo día en que se genera</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2. Análisis preliminar</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Se revisan el expediente, el Perfil Transaccional y el historial. Si hace falta información del cliente, se solicita como actualización ordinaria del expediente, sin revelar la existencia de la alerta (Capítulo 16).</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2 días hábiles</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3. Escalamiento</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Si la alerta no se descarta, se escala al Corredor Público Titular. Las alertas de listas, PEP de Riesgo alto o jurisdicciones de Riesgo se escalan de inmediato.</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Inmediato al concluir la etapa 2</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4. Dictamen</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Conclusión escrita y motivada: (a) descartada; (b) inusual sin elementos de sospecha → actualizar el Perfil y aplicar monitoreo reforzado; (c) sospechosa → Aviso por sospecha; (d) coincidencia confirmada en listas → abstención y Aviso.</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5 días hábiles desde la alerta</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5. Aviso de 24 horas</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En los casos (c) y (d), el Aviso se presenta dentro de las 24 horas siguientes a que se reconoció la conducta inusitada o el indicio (Arts. 26 Bis, 26 Bis 1 y 27 RCG), aunque el acto no se haya celebrado o no alcance el umbral. Formato: Documento D9-COR.</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24 horas (plazo legal)</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6. Decisión sobre la relación</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Continuar, limitar o terminar la relación conforme a los criterios de apertura, limitación y terminación de este Manual.</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Junto con el dictamen</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7. Conservación</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El registro, análisis, dictamen y evidencia se conservan diez años bajo confidencialidad.</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Permanente</w:t>
            </w:r>
          </w:p>
        </w:tc>
      </w:tr>
    </w:tbl>
    <w:p>
      <w:pPr>
        <w:spacing w:after="80"/>
      </w:pPr>
    </w:p>
    <w:p>
      <w:pPr>
        <w:spacing w:after="110"/>
      </w:pPr>
      <w:r>
        <w:rPr>
          <w:rFonts w:ascii="Calibri" w:cs="Calibri" w:eastAsia="Calibri" w:hAnsi="Calibri"/>
          <w:sz w:val="20"/>
          <w:szCs w:val="20"/>
        </w:rPr>
        <w:t xml:space="preserve">El análisis no puede usarse para diferir el Aviso: en cuanto se reconoce la conducta inusitada o el indicio, corre el plazo de 24 horas. En el régimen de la LFPIORPI, los actos que alcanzan el umbral se reportan mediante el Aviso mensual ordinario, con independencia de este procedimiento.</w:t>
      </w:r>
    </w:p>
    <w:p>
      <w:pPr>
        <w:shd w:fill="1F3864" w:val="clear"/>
        <w:spacing w:after="100" w:before="220"/>
      </w:pPr>
      <w:r>
        <w:rPr>
          <w:rFonts w:ascii="Calibri" w:cs="Calibri" w:eastAsia="Calibri" w:hAnsi="Calibri"/>
          <w:b/>
          <w:bCs/>
          <w:color w:val="FFFFFF"/>
          <w:sz w:val="22"/>
          <w:szCs w:val="22"/>
        </w:rPr>
        <w:t xml:space="preserve">Capítulo 14: Seguimiento de Actos — Sin Acumulación en el Apartado B</w:t>
      </w:r>
    </w:p>
    <w:p>
      <w:pPr>
        <w:spacing w:after="110"/>
      </w:pPr>
      <w:r>
        <w:rPr>
          <w:rFonts w:ascii="Calibri" w:cs="Calibri" w:eastAsia="Calibri" w:hAnsi="Calibri"/>
          <w:sz w:val="20"/>
          <w:szCs w:val="20"/>
        </w:rPr>
        <w:t xml:space="preserve">Conforme al artículo 19 de las RCG, el seguimiento y acumulación de actos en periodos de hasta seis meses NO aplica a ninguno de los incisos del Apartado B. En consecuencia: (i) en los incisos b), c) y d) cada acto se avisa por sí mismo; y (ii) en el inciso a), cada avalúo con fe pública se compara individualmente con el umbral de 8,025 UMA, sin sumar avalúos previos del mismo cliente.</w:t>
      </w:r>
    </w:p>
    <w:p>
      <w:pPr>
        <w:spacing w:after="110"/>
      </w:pPr>
      <w:r>
        <w:rPr>
          <w:rFonts w:ascii="Calibri" w:cs="Calibri" w:eastAsia="Calibri" w:hAnsi="Calibri"/>
          <w:sz w:val="20"/>
          <w:szCs w:val="20"/>
        </w:rPr>
        <w:t xml:space="preserve">Lo anterior no exime del monitoreo del Perfil Transaccional (Capítulo 13), de la reevaluación semestral del Grado de Riesgo ni de la verificación anual de los expedientes de clientes con Relación de negocios (Art. 21 RCG). El fraccionamiento artificial de un avalúo para quedar por debajo del umbral es una señal de alerta que se documenta y, en su caso, motiva el Aviso por sospecha (D9-COR).</w:t>
      </w:r>
    </w:p>
    <w:p>
      <w:pPr>
        <w:shd w:fill="1F3864" w:val="clear"/>
        <w:spacing w:after="100" w:before="220"/>
      </w:pPr>
      <w:r>
        <w:rPr>
          <w:rFonts w:ascii="Calibri" w:cs="Calibri" w:eastAsia="Calibri" w:hAnsi="Calibri"/>
          <w:b/>
          <w:bCs/>
          <w:color w:val="FFFFFF"/>
          <w:sz w:val="22"/>
          <w:szCs w:val="22"/>
        </w:rPr>
        <w:t xml:space="preserve">Capítulo 15: Identificación de Personas en Listas de Autoridades</w:t>
      </w:r>
    </w:p>
    <w:p>
      <w:pPr>
        <w:spacing w:after="110"/>
      </w:pPr>
      <w:r>
        <w:rPr>
          <w:rFonts w:ascii="Calibri" w:cs="Calibri" w:eastAsia="Calibri" w:hAnsi="Calibri"/>
          <w:sz w:val="20"/>
          <w:szCs w:val="20"/>
        </w:rPr>
        <w:t xml:space="preserve">La Correduría incorpora procedimientos para identificar a las personas incluidas en las listas que emitan autoridades nacionales u organismos internacionales y que dé a conocer la UIF (Art. 38 RCG), a fin de evitar el uso de recursos para el financiamiento de organizaciones delictivas u otras actividades ilícitas. Cuando la persona con quien se realice o intente realizar un acto esté en esas listas, se presenta Aviso dentro del plazo de 24 horas de los Arts. 26 Bis y 26 Bis 1 RCG (Art. 27 RCG).</w:t>
      </w:r>
    </w:p>
    <w:p>
      <w:pPr>
        <w:keepNext/>
        <w:spacing w:after="60" w:before="120"/>
      </w:pPr>
      <w:r>
        <w:rPr>
          <w:rFonts w:ascii="Calibri" w:cs="Calibri" w:eastAsia="Calibri" w:hAnsi="Calibri"/>
          <w:b/>
          <w:bCs/>
          <w:color w:val="0A1628"/>
          <w:sz w:val="19"/>
          <w:szCs w:val="19"/>
        </w:rPr>
        <w:t xml:space="preserve">15.1 Procedimiento de consulta de listas (Art. 37 Bis, fr. IX, RCG)</w:t>
      </w:r>
    </w:p>
    <w:p>
      <w:pPr>
        <w:pStyle w:val="ListParagraph"/>
        <w:numPr>
          <w:ilvl w:val="0"/>
          <w:numId w:val="1"/>
        </w:numPr>
        <w:spacing w:after="40"/>
      </w:pPr>
      <w:r>
        <w:rPr>
          <w:rFonts w:ascii="Calibri" w:cs="Calibri" w:eastAsia="Calibri" w:hAnsi="Calibri"/>
          <w:sz w:val="20"/>
          <w:szCs w:val="20"/>
        </w:rPr>
        <w:t xml:space="preserve">Fuentes: (i) las listas que dé a conocer la UIF conforme al Art. 38 RCG, emitidas por autoridades nacionales u organismos internacionales; (ii) las listas de sanciones del Consejo de Seguridad de la ONU; y (iii) como buena práctica, otras listas internacionales reconocidas (p. ej., OFAC) y noticias negativas en fuentes públicas.</w:t>
      </w:r>
    </w:p>
    <w:p>
      <w:pPr>
        <w:pStyle w:val="ListParagraph"/>
        <w:numPr>
          <w:ilvl w:val="0"/>
          <w:numId w:val="1"/>
        </w:numPr>
        <w:spacing w:after="40"/>
      </w:pPr>
      <w:r>
        <w:rPr>
          <w:rFonts w:ascii="Calibri" w:cs="Calibri" w:eastAsia="Calibri" w:hAnsi="Calibri"/>
          <w:sz w:val="20"/>
          <w:szCs w:val="20"/>
        </w:rPr>
        <w:t xml:space="preserve">Personas consultadas: el Cliente o Usuaria, su Beneficiario Controlador, sus representantes o apoderados y, en clientes de Riesgo alto, las personas vinculadas recabadas conforme a las medidas reforzadas.</w:t>
      </w:r>
    </w:p>
    <w:p>
      <w:pPr>
        <w:pStyle w:val="ListParagraph"/>
        <w:numPr>
          <w:ilvl w:val="0"/>
          <w:numId w:val="1"/>
        </w:numPr>
        <w:spacing w:after="40"/>
      </w:pPr>
      <w:r>
        <w:rPr>
          <w:rFonts w:ascii="Calibri" w:cs="Calibri" w:eastAsia="Calibri" w:hAnsi="Calibri"/>
          <w:sz w:val="20"/>
          <w:szCs w:val="20"/>
        </w:rPr>
        <w:t xml:space="preserve">Frecuencia: antes de cada acto u operación y, para la cartera con relación de negocios vigente, cada vez que se actualicen las listas y, en todo caso, en la reevaluación semestral del Grado de Riesgo.</w:t>
      </w:r>
    </w:p>
    <w:p>
      <w:pPr>
        <w:pStyle w:val="ListParagraph"/>
        <w:numPr>
          <w:ilvl w:val="0"/>
          <w:numId w:val="1"/>
        </w:numPr>
        <w:spacing w:after="40"/>
      </w:pPr>
      <w:r>
        <w:rPr>
          <w:rFonts w:ascii="Calibri" w:cs="Calibri" w:eastAsia="Calibri" w:hAnsi="Calibri"/>
          <w:sz w:val="20"/>
          <w:szCs w:val="20"/>
        </w:rPr>
        <w:t xml:space="preserve">Tratamiento de coincidencias: si la coincidencia es parcial o puede ser un homónimo, se verifica con la fecha de nacimiento, la CURP o el RFC y la nacionalidad. Si se descarta, se documenta como falso positivo. Si se confirma, se abstiene de realizar el acto u operación, presenta el Aviso dentro de las 24 horas (Art. 27 en relación con los Arts. 26 Bis y 26 Bis 1 RCG) y no alerta al cliente (Capítulo 16).</w:t>
      </w:r>
    </w:p>
    <w:p>
      <w:pPr>
        <w:pStyle w:val="ListParagraph"/>
        <w:numPr>
          <w:ilvl w:val="0"/>
          <w:numId w:val="1"/>
        </w:numPr>
        <w:spacing w:after="40"/>
      </w:pPr>
      <w:r>
        <w:rPr>
          <w:rFonts w:ascii="Calibri" w:cs="Calibri" w:eastAsia="Calibri" w:hAnsi="Calibri"/>
          <w:sz w:val="20"/>
          <w:szCs w:val="20"/>
        </w:rPr>
        <w:t xml:space="preserve">Evidencia: constancia de cada consulta con fecha, fuente, persona consultada, resultado y quién la realizó, integrada al expediente.</w:t>
      </w:r>
    </w:p>
    <w:p>
      <w:pPr>
        <w:pStyle w:val="ListParagraph"/>
        <w:numPr>
          <w:ilvl w:val="0"/>
          <w:numId w:val="1"/>
        </w:numPr>
        <w:spacing w:after="40"/>
      </w:pPr>
      <w:r>
        <w:rPr>
          <w:rFonts w:ascii="Calibri" w:cs="Calibri" w:eastAsia="Calibri" w:hAnsi="Calibri"/>
          <w:sz w:val="20"/>
          <w:szCs w:val="20"/>
        </w:rPr>
        <w:t xml:space="preserve">Verificación de funcionamiento: cada seis meses se prueba la herramienta o el procedimiento con un nombre de control incluido en las listas, para comprobar que lo detecta, y se verifica que las listas utilizadas sean las vigentes; el resultado se documenta (criterio del Programa).</w:t>
      </w:r>
    </w:p>
    <w:p>
      <w:pPr>
        <w:shd w:fill="1F3864" w:val="clear"/>
        <w:spacing w:after="100" w:before="220"/>
      </w:pPr>
      <w:r>
        <w:rPr>
          <w:rFonts w:ascii="Calibri" w:cs="Calibri" w:eastAsia="Calibri" w:hAnsi="Calibri"/>
          <w:b/>
          <w:bCs/>
          <w:color w:val="FFFFFF"/>
          <w:sz w:val="22"/>
          <w:szCs w:val="22"/>
        </w:rPr>
        <w:t xml:space="preserve">Capítulo 16: Confidencialidad</w:t>
      </w:r>
    </w:p>
    <w:p>
      <w:pPr>
        <w:spacing w:after="110"/>
      </w:pPr>
      <w:r>
        <w:rPr>
          <w:rFonts w:ascii="Calibri" w:cs="Calibri" w:eastAsia="Calibri" w:hAnsi="Calibri"/>
          <w:sz w:val="20"/>
          <w:szCs w:val="20"/>
        </w:rPr>
        <w:t xml:space="preserve">El Corredor Público Titular y el personal de la Correduría mantienen absoluta confidencialidad sobre la información, documentación y actos u operaciones relacionados con el cumplimiento de la Ley, incluida la relativa al Beneficiario Controlador y a los Avisos presentados (Arts. 31 RCG y 50 de la Ley). Queda prohibido alertar al cliente o a terceros sobre cualquier referencia hecha en un Aviso, sobre requerimientos de información recibidos o sobre órdenes de aseguramiento antes de su ejecución; revelar sin autorización la vinculación de una persona con un Aviso o requerimiento constituye el delito del Art. 63, fr. II, de la Ley. La presentación de Avisos no vulnera el secreto profesional ni la confidencialidad (Art. 22 de la Ley).</w:t>
      </w:r>
    </w:p>
    <w:p>
      <w:pPr>
        <w:keepNext/>
        <w:spacing w:after="60" w:before="120"/>
      </w:pPr>
      <w:r>
        <w:rPr>
          <w:rFonts w:ascii="Calibri" w:cs="Calibri" w:eastAsia="Calibri" w:hAnsi="Calibri"/>
          <w:b/>
          <w:bCs/>
          <w:color w:val="0A1628"/>
          <w:sz w:val="19"/>
          <w:szCs w:val="19"/>
        </w:rPr>
        <w:t xml:space="preserve">16.1 Protección de datos personales (Art. 37 Bis, fr. XIII, RCG)</w:t>
      </w:r>
    </w:p>
    <w:p>
      <w:pPr>
        <w:pStyle w:val="ListParagraph"/>
        <w:numPr>
          <w:ilvl w:val="0"/>
          <w:numId w:val="1"/>
        </w:numPr>
        <w:spacing w:after="40"/>
      </w:pPr>
      <w:r>
        <w:rPr>
          <w:rFonts w:ascii="Calibri" w:cs="Calibri" w:eastAsia="Calibri" w:hAnsi="Calibri"/>
          <w:sz w:val="20"/>
          <w:szCs w:val="20"/>
        </w:rPr>
        <w:t xml:space="preserve">Los datos personales de Clientes o Usuarias, Beneficiarios Controladores, personas vinculadas y personal se tratan conforme a la Ley Federal de Protección de Datos Personales en Posesión de los Particulares (DOF 20/03/2025), con la finalidad de cumplir las obligaciones de la Ley, su Reglamento y las RCG.</w:t>
      </w:r>
    </w:p>
    <w:p>
      <w:pPr>
        <w:pStyle w:val="ListParagraph"/>
        <w:numPr>
          <w:ilvl w:val="0"/>
          <w:numId w:val="1"/>
        </w:numPr>
        <w:spacing w:after="40"/>
      </w:pPr>
      <w:r>
        <w:rPr>
          <w:rFonts w:ascii="Calibri" w:cs="Calibri" w:eastAsia="Calibri" w:hAnsi="Calibri"/>
          <w:sz w:val="20"/>
          <w:szCs w:val="20"/>
        </w:rPr>
        <w:t xml:space="preserve">El aviso de privacidad informa esa finalidad, la transferencia de datos a la UIF, al SAT y a las autoridades facultadas, y el plazo de conservación de diez años. El tratamiento que deriva de una obligación legal no requiere consentimiento en los términos de esa legislación.</w:t>
      </w:r>
    </w:p>
    <w:p>
      <w:pPr>
        <w:pStyle w:val="ListParagraph"/>
        <w:numPr>
          <w:ilvl w:val="0"/>
          <w:numId w:val="1"/>
        </w:numPr>
        <w:spacing w:after="40"/>
      </w:pPr>
      <w:r>
        <w:rPr>
          <w:rFonts w:ascii="Calibri" w:cs="Calibri" w:eastAsia="Calibri" w:hAnsi="Calibri"/>
          <w:sz w:val="20"/>
          <w:szCs w:val="20"/>
        </w:rPr>
        <w:t xml:space="preserve">Acceso restringido a expedientes, Avisos y alertas: únicamente las personas autorizadas por el Corredor Público Titular ([PERSONAS AUTORIZADAS]) y el auditor. En sistemas digitales se usan credenciales individuales y bitácora de accesos; el archivo físico se resguarda bajo llave.</w:t>
      </w:r>
    </w:p>
    <w:p>
      <w:pPr>
        <w:pStyle w:val="ListParagraph"/>
        <w:numPr>
          <w:ilvl w:val="0"/>
          <w:numId w:val="1"/>
        </w:numPr>
        <w:spacing w:after="40"/>
      </w:pPr>
      <w:r>
        <w:rPr>
          <w:rFonts w:ascii="Calibri" w:cs="Calibri" w:eastAsia="Calibri" w:hAnsi="Calibri"/>
          <w:sz w:val="20"/>
          <w:szCs w:val="20"/>
        </w:rPr>
        <w:t xml:space="preserve">Medidas de seguridad administrativas, físicas y técnicas: contraseñas robustas, cifrado o resguardo seguro de respaldos y destrucción segura al vencer los plazos (Documento D10-COR).</w:t>
      </w:r>
    </w:p>
    <w:p>
      <w:pPr>
        <w:pStyle w:val="ListParagraph"/>
        <w:numPr>
          <w:ilvl w:val="0"/>
          <w:numId w:val="1"/>
        </w:numPr>
        <w:spacing w:after="40"/>
      </w:pPr>
      <w:r>
        <w:rPr>
          <w:rFonts w:ascii="Calibri" w:cs="Calibri" w:eastAsia="Calibri" w:hAnsi="Calibri"/>
          <w:sz w:val="20"/>
          <w:szCs w:val="20"/>
        </w:rPr>
        <w:t xml:space="preserve">Todo el personal con acceso firma un convenio de confidencialidad que incluye la prohibición de alertar al cliente o a terceros sobre Avisos y requerimientos.</w:t>
      </w:r>
    </w:p>
    <w:p>
      <w:pPr>
        <w:pStyle w:val="ListParagraph"/>
        <w:numPr>
          <w:ilvl w:val="0"/>
          <w:numId w:val="1"/>
        </w:numPr>
        <w:spacing w:after="40"/>
      </w:pPr>
      <w:r>
        <w:rPr>
          <w:rFonts w:ascii="Calibri" w:cs="Calibri" w:eastAsia="Calibri" w:hAnsi="Calibri"/>
          <w:sz w:val="20"/>
          <w:szCs w:val="20"/>
        </w:rPr>
        <w:t xml:space="preserve">Derechos ARCO: se atienden conforme a la legislación aplicable. La cancelación u oposición no procede respecto de los datos que deban conservarse por disposición legal, y la respuesta nunca revela la existencia de Avisos o requerimientos.</w:t>
      </w:r>
    </w:p>
    <w:p>
      <w:pPr>
        <w:pStyle w:val="ListParagraph"/>
        <w:numPr>
          <w:ilvl w:val="0"/>
          <w:numId w:val="1"/>
        </w:numPr>
        <w:spacing w:after="40"/>
      </w:pPr>
      <w:r>
        <w:rPr>
          <w:rFonts w:ascii="Calibri" w:cs="Calibri" w:eastAsia="Calibri" w:hAnsi="Calibri"/>
          <w:sz w:val="20"/>
          <w:szCs w:val="20"/>
        </w:rPr>
        <w:t xml:space="preserve">Incidentes: toda vulneración de seguridad se reporta de inmediato al Corredor Público Titular, se documenta y se atiende conforme a la legislación de protección de datos.</w:t>
      </w:r>
    </w:p>
    <w:p>
      <w:pPr>
        <w:shd w:fill="1F3864" w:val="clear"/>
        <w:spacing w:after="100" w:before="220"/>
      </w:pPr>
      <w:r>
        <w:rPr>
          <w:rFonts w:ascii="Calibri" w:cs="Calibri" w:eastAsia="Calibri" w:hAnsi="Calibri"/>
          <w:b/>
          <w:bCs/>
          <w:color w:val="FFFFFF"/>
          <w:sz w:val="22"/>
          <w:szCs w:val="22"/>
        </w:rPr>
        <w:t xml:space="preserve">Capítulo 17: Identificación de Quien Solicita Materialmente la Formalización</w:t>
      </w:r>
    </w:p>
    <w:p>
      <w:pPr>
        <w:spacing w:after="110"/>
      </w:pPr>
      <w:r>
        <w:rPr>
          <w:rFonts w:ascii="Calibri" w:cs="Calibri" w:eastAsia="Calibri" w:hAnsi="Calibri"/>
          <w:sz w:val="20"/>
          <w:szCs w:val="20"/>
        </w:rPr>
        <w:t xml:space="preserve">Con independencia de la identificación de las partes, el Corredor identifica, al momento de realizar el acto, a la persona que solicite materialmente la protocolización o formalización del instrumento — póliza o acta —, recabando la información del Anexo 3, inciso a), numerales i), ii), ix) y x), de las RCG (Art. 13 RCG, aplicable a los Apartados A y B). Este dato se registra en la Sección A.3 del expediente KYC (D7-COR).</w:t>
      </w:r>
    </w:p>
    <w:p>
      <w:pPr>
        <w:shd w:fill="1F3864" w:val="clear"/>
        <w:spacing w:after="100" w:before="220"/>
      </w:pPr>
      <w:r>
        <w:rPr>
          <w:rFonts w:ascii="Calibri" w:cs="Calibri" w:eastAsia="Calibri" w:hAnsi="Calibri"/>
          <w:b/>
          <w:bCs/>
          <w:color w:val="FFFFFF"/>
          <w:sz w:val="22"/>
          <w:szCs w:val="22"/>
        </w:rPr>
        <w:t xml:space="preserve">Capítulo 18: Fe Pública Prestada al Poder Judicial o a Autoridades Administrativas</w:t>
      </w:r>
    </w:p>
    <w:p>
      <w:pPr>
        <w:spacing w:after="110"/>
      </w:pPr>
      <w:r>
        <w:rPr>
          <w:rFonts w:ascii="Calibri" w:cs="Calibri" w:eastAsia="Calibri" w:hAnsi="Calibri"/>
          <w:sz w:val="20"/>
          <w:szCs w:val="20"/>
        </w:rPr>
        <w:t xml:space="preserve">Cuando el Corredor preste servicios de fe pública al Poder Judicial de la Federación, de los Estados o de la Ciudad de México, o a autoridades administrativas en ejercicio de sus funciones de administración e impartición de justicia, integra el expediente único de identificación únicamente con los datos del Anexo 7 Bis de las RCG (Art. 13 Bis RCG).</w:t>
      </w:r>
    </w:p>
    <w:p>
      <w:pPr>
        <w:shd w:fill="1F3864" w:val="clear"/>
        <w:spacing w:after="100" w:before="220"/>
      </w:pPr>
      <w:r>
        <w:rPr>
          <w:rFonts w:ascii="Calibri" w:cs="Calibri" w:eastAsia="Calibri" w:hAnsi="Calibri"/>
          <w:b/>
          <w:bCs/>
          <w:color w:val="FFFFFF"/>
          <w:sz w:val="22"/>
          <w:szCs w:val="22"/>
        </w:rPr>
        <w:t xml:space="preserve">Capítulo 19: Criterios para Apertura, Limitación y Terminación de Relaciones Comerciales</w:t>
      </w:r>
    </w:p>
    <w:p>
      <w:pPr>
        <w:spacing w:after="110"/>
      </w:pPr>
      <w:r>
        <w:rPr>
          <w:rFonts w:ascii="Calibri" w:cs="Calibri" w:eastAsia="Calibri" w:hAnsi="Calibri"/>
          <w:sz w:val="20"/>
          <w:szCs w:val="20"/>
        </w:rPr>
        <w:t xml:space="preserve">En congruencia con la Metodología EBR (Art. 37, tercer párrafo, RCG), la Correduría se abstiene de formalizar el acto o de continuar la relación cuando: (i) el cliente no proporcione la información o documentación necesaria para su identificación (Art. 21 de la Ley); (ii) el Grado de Riesgo resultante sea inaceptable conforme a los criterios del Documento D6-COR; o (iii) se detecten señales de alerta que el cliente no pueda aclarar razonablemente. Toda abstención, limitación o terminación se documenta y conserva en el expediente.</w:t>
      </w:r>
    </w:p>
    <w:p>
      <w:pPr>
        <w:shd w:fill="1F3864" w:val="clear"/>
        <w:spacing w:after="100" w:before="220"/>
      </w:pPr>
      <w:r>
        <w:rPr>
          <w:rFonts w:ascii="Calibri" w:cs="Calibri" w:eastAsia="Calibri" w:hAnsi="Calibri"/>
          <w:b/>
          <w:bCs/>
          <w:color w:val="FFFFFF"/>
          <w:sz w:val="22"/>
          <w:szCs w:val="22"/>
        </w:rPr>
        <w:t xml:space="preserve">Capítulo 20: Mecanismos Automatizados</w:t>
      </w:r>
    </w:p>
    <w:p>
      <w:pPr>
        <w:spacing w:after="110"/>
      </w:pPr>
      <w:r>
        <w:rPr>
          <w:rFonts w:ascii="Calibri" w:cs="Calibri" w:eastAsia="Calibri" w:hAnsi="Calibri"/>
          <w:sz w:val="20"/>
          <w:szCs w:val="20"/>
        </w:rPr>
        <w:t xml:space="preserve">Conforme al Art. 41 RCG, la Correduría cuenta, a más tardar el 1 de junio de 2027, con mecanismos automatizados — adecuados a su volumen, naturaleza y Riesgo — que permiten: conservar y consultar los expedientes de identificación; agrupar y monitorear los actos de cada cliente; alimentar la Metodología EBR; ejecutar el modelo de clasificación de Grado de Riesgo conservando su historial por al menos diez años; operar el sistema de alertas; y dar seguimiento al uso de efectivo y metales preciosos. Pueden ser hojas de cálculo o bases de datos siempre que cumplan esas funciones y sean verificables (Art. 3, fr. XI Ter, RCG).</w:t>
      </w:r>
    </w:p>
    <w:p>
      <w:pPr>
        <w:shd w:fill="1F3864" w:val="clear"/>
        <w:spacing w:after="100" w:before="220"/>
      </w:pPr>
      <w:r>
        <w:rPr>
          <w:rFonts w:ascii="Calibri" w:cs="Calibri" w:eastAsia="Calibri" w:hAnsi="Calibri"/>
          <w:b/>
          <w:bCs/>
          <w:color w:val="FFFFFF"/>
          <w:sz w:val="22"/>
          <w:szCs w:val="22"/>
        </w:rPr>
        <w:t xml:space="preserve">Capítulo 21: Selección y Capacitación del Personal</w:t>
      </w:r>
    </w:p>
    <w:p>
      <w:pPr>
        <w:spacing w:after="110"/>
      </w:pPr>
      <w:r>
        <w:rPr>
          <w:rFonts w:ascii="Calibri" w:cs="Calibri" w:eastAsia="Calibri" w:hAnsi="Calibri"/>
          <w:sz w:val="20"/>
          <w:szCs w:val="20"/>
        </w:rPr>
        <w:t xml:space="preserve">La Correduría aplica procedimientos de selección del personal que tenga relación directa con las partes, con declaración firmada conforme al Art. 39 Bis 2 RCG (exigible para contrataciones a partir del 1 de marzo de 2027), y lo capacita conforme al Programa Anual del Documento D11-COR (Art. 39 Bis RCG); el personal de atención al público recibe capacitación previa o simultánea a su ingreso. La evidencia se conserva por 10 años.</w:t>
      </w:r>
    </w:p>
    <w:p>
      <w:pPr>
        <w:spacing w:after="110"/>
      </w:pPr>
      <w:r>
        <w:rPr>
          <w:rFonts w:ascii="Calibri" w:cs="Calibri" w:eastAsia="Calibri" w:hAnsi="Calibri"/>
          <w:sz w:val="20"/>
          <w:szCs w:val="20"/>
        </w:rPr>
        <w:t xml:space="preserve">Si un funcionario o empleado deja de contar con calidad técnica u honorabilidad (por ejemplo, por sentencia por delito patrimonial o inhabilitación), se le retira de inmediato de las funciones de atención al público, identificación de clientes, envío de Avisos o administración de recursos; se documenta el hecho y se resuelve su situación conforme a la legislación laboral (Art. 39 Bis 2, último párrafo, RCG). Cada empleado actualiza su declaración cuando cambie su situación y, en todo caso, una vez al año (criterio del Programa).</w:t>
      </w:r>
    </w:p>
    <w:p>
      <w:pPr>
        <w:shd w:fill="1F3864" w:val="clear"/>
        <w:spacing w:after="100" w:before="220"/>
      </w:pPr>
      <w:r>
        <w:rPr>
          <w:rFonts w:ascii="Calibri" w:cs="Calibri" w:eastAsia="Calibri" w:hAnsi="Calibri"/>
          <w:b/>
          <w:bCs/>
          <w:color w:val="FFFFFF"/>
          <w:sz w:val="22"/>
          <w:szCs w:val="22"/>
        </w:rPr>
        <w:t xml:space="preserve">Capítulo 22: Sanciones Aplicables</w:t>
      </w:r>
    </w:p>
    <w:p>
      <w:pPr>
        <w:spacing w:after="110"/>
      </w:pPr>
      <w:r>
        <w:rPr>
          <w:rFonts w:ascii="Calibri" w:cs="Calibri" w:eastAsia="Calibri" w:hAnsi="Calibri"/>
          <w:sz w:val="20"/>
          <w:szCs w:val="20"/>
        </w:rPr>
        <w:t xml:space="preserve">Incumplir las obligaciones del artículo 18, desatender requerimientos o presentar el Aviso extemporáneamente dentro de los 30 días siguientes al plazo (Art. 53, fraccs. I a IV) se sanciona con 200 a 2,000 UMA (Art. 54, fr. I); el Aviso presentado después de ese plazo se sanciona como omisión. Incumplir el artículo 33 (forma de pago en los instrumentos) se sanciona con 2,000 a 10,000 UMA (Art. 54, fr. II). La omisión de Avisos o la participación en operaciones con efectivo prohibidas (Art. 53, fraccs. VI y VII) se sanciona con 10,000 a 65,000 UMA, o del 10% al 100% del valor del acto — lo que resulte mayor (Art. 54, fr. III). Art. 55: el beneficio de actuación espontánea permite que la Secretaría se abstenga de sancionar por única ocasión o, si ya se ejerció, reduzca hasta 50% las multas.</w:t>
      </w:r>
    </w:p>
    <w:p>
      <w:pPr>
        <w:spacing w:after="110"/>
      </w:pPr>
      <w:r>
        <w:rPr>
          <w:rFonts w:ascii="Calibri" w:cs="Calibri" w:eastAsia="Calibri" w:hAnsi="Calibri"/>
          <w:sz w:val="20"/>
          <w:szCs w:val="20"/>
        </w:rPr>
        <w:t xml:space="preserve">Además, conforme al artículo 58, cuando la Secretaría determina la existencia de "notorias deficiencias" informa a la Secretaría de Economía, autoridad competente para supervisar la fe pública del corredor, para que instaure el procedimiento sancionador que corresponda conforme a la Ley Federal de Correduría Pública. Ver Documentos D0-COR y D1-COR.</w:t>
      </w:r>
    </w:p>
    <w:p>
      <w:pPr>
        <w:shd w:fill="1F3864" w:val="clear"/>
        <w:spacing w:after="100" w:before="220"/>
      </w:pPr>
      <w:r>
        <w:rPr>
          <w:rFonts w:ascii="Calibri" w:cs="Calibri" w:eastAsia="Calibri" w:hAnsi="Calibri"/>
          <w:b/>
          <w:bCs/>
          <w:color w:val="FFFFFF"/>
          <w:sz w:val="22"/>
          <w:szCs w:val="22"/>
        </w:rPr>
        <w:t xml:space="preserve">Capítulo 23: Actualización del Manual</w:t>
      </w:r>
    </w:p>
    <w:p>
      <w:pPr>
        <w:spacing w:after="110"/>
      </w:pPr>
      <w:r>
        <w:rPr>
          <w:rFonts w:ascii="Calibri" w:cs="Calibri" w:eastAsia="Calibri" w:hAnsi="Calibri"/>
          <w:sz w:val="20"/>
          <w:szCs w:val="20"/>
        </w:rPr>
        <w:t xml:space="preserve">Este Manual se revisa con periodicidad anual, cuando los resultados de la Metodología EBR identifiquen Riesgos nuevos o mayores (Art. 10 Septies 2 RCG), y cada vez que se publique una reforma a la LFPIORPI, su Reglamento, las Reglas de Carácter General o a la Ley Federal de Correduría Pública en lo relativo al alcance de la fe pública del Corredor. El SAT puede ordenar modificaciones (Art. 37 Bis 3 RCG).</w:t>
      </w:r>
    </w:p>
    <w:p>
      <w:pPr>
        <w:keepNext/>
        <w:spacing w:after="60" w:before="120"/>
      </w:pPr>
      <w:r>
        <w:rPr>
          <w:rFonts w:ascii="Calibri" w:cs="Calibri" w:eastAsia="Calibri" w:hAnsi="Calibri"/>
          <w:b/>
          <w:bCs/>
          <w:color w:val="0A1628"/>
          <w:sz w:val="19"/>
          <w:szCs w:val="19"/>
        </w:rPr>
        <w:t xml:space="preserve">23.1 Responsable, aprobación, versiones y difusión (Art. 37 Bis, fr. XIV, RCG)</w:t>
      </w:r>
    </w:p>
    <w:p>
      <w:pPr>
        <w:pStyle w:val="ListParagraph"/>
        <w:numPr>
          <w:ilvl w:val="0"/>
          <w:numId w:val="1"/>
        </w:numPr>
        <w:spacing w:after="40"/>
      </w:pPr>
      <w:r>
        <w:rPr>
          <w:rFonts w:ascii="Calibri" w:cs="Calibri" w:eastAsia="Calibri" w:hAnsi="Calibri"/>
          <w:sz w:val="20"/>
          <w:szCs w:val="20"/>
        </w:rPr>
        <w:t xml:space="preserve">Responsable: el Corredor Público Titular propone y redacta las actualizaciones, con el apoyo de Certus Consultores.</w:t>
      </w:r>
    </w:p>
    <w:p>
      <w:pPr>
        <w:pStyle w:val="ListParagraph"/>
        <w:numPr>
          <w:ilvl w:val="0"/>
          <w:numId w:val="1"/>
        </w:numPr>
        <w:spacing w:after="40"/>
      </w:pPr>
      <w:r>
        <w:rPr>
          <w:rFonts w:ascii="Calibri" w:cs="Calibri" w:eastAsia="Calibri" w:hAnsi="Calibri"/>
          <w:sz w:val="20"/>
          <w:szCs w:val="20"/>
        </w:rPr>
        <w:t xml:space="preserve">Aprobación: el Corredor Público Titular aprueba cada versión mediante constancia firmada; la versión rige desde su aprobación.</w:t>
      </w:r>
    </w:p>
    <w:p>
      <w:pPr>
        <w:pStyle w:val="ListParagraph"/>
        <w:numPr>
          <w:ilvl w:val="0"/>
          <w:numId w:val="1"/>
        </w:numPr>
        <w:spacing w:after="40"/>
      </w:pPr>
      <w:r>
        <w:rPr>
          <w:rFonts w:ascii="Calibri" w:cs="Calibri" w:eastAsia="Calibri" w:hAnsi="Calibri"/>
          <w:sz w:val="20"/>
          <w:szCs w:val="20"/>
        </w:rPr>
        <w:t xml:space="preserve">Control de versiones: el Anexo D registra el número de versión, la fecha de aprobación, los cambios y quién aprobó. Las versiones anteriores se conservan durante el plazo de conservación de este Manual.</w:t>
      </w:r>
    </w:p>
    <w:p>
      <w:pPr>
        <w:pStyle w:val="ListParagraph"/>
        <w:numPr>
          <w:ilvl w:val="0"/>
          <w:numId w:val="1"/>
        </w:numPr>
        <w:spacing w:after="40"/>
      </w:pPr>
      <w:r>
        <w:rPr>
          <w:rFonts w:ascii="Calibri" w:cs="Calibri" w:eastAsia="Calibri" w:hAnsi="Calibri"/>
          <w:sz w:val="20"/>
          <w:szCs w:val="20"/>
        </w:rPr>
        <w:t xml:space="preserve">Difusión: dentro de los diez días hábiles siguientes a la aprobación, la versión vigente se entrega al personal sujeto a capacitación, que firma el acuse de recepción del Anexo D. Su contenido forma parte de la capacitación anual (Art. 39 Bis, fr. I, inciso b), RCG).</w:t>
      </w:r>
    </w:p>
    <w:p>
      <w:pPr>
        <w:pStyle w:val="ListParagraph"/>
        <w:numPr>
          <w:ilvl w:val="0"/>
          <w:numId w:val="1"/>
        </w:numPr>
        <w:spacing w:after="40"/>
      </w:pPr>
      <w:r>
        <w:rPr>
          <w:rFonts w:ascii="Calibri" w:cs="Calibri" w:eastAsia="Calibri" w:hAnsi="Calibri"/>
          <w:sz w:val="20"/>
          <w:szCs w:val="20"/>
        </w:rPr>
        <w:t xml:space="preserve">Detonantes de actualización: revisión anual; reformas a la Ley, su Reglamento o las RCG; cambios en las actividades u operación (Anexo C); resultados de la metodología de evaluación de Riesgos (Art. 10 Septies 2); hallazgos de supervisión o auditoría; y requerimientos de la autoridad.</w:t>
      </w:r>
    </w:p>
    <w:p>
      <w:pPr>
        <w:pStyle w:val="ListParagraph"/>
        <w:numPr>
          <w:ilvl w:val="0"/>
          <w:numId w:val="1"/>
        </w:numPr>
        <w:spacing w:after="40"/>
      </w:pPr>
      <w:r>
        <w:rPr>
          <w:rFonts w:ascii="Calibri" w:cs="Calibri" w:eastAsia="Calibri" w:hAnsi="Calibri"/>
          <w:sz w:val="20"/>
          <w:szCs w:val="20"/>
        </w:rPr>
        <w:t xml:space="preserve">Modificaciones ordenadas por el SAT (Art. 37 Bis 3 RCG): el Corredor Público Titular registra el requerimiento, prepara la modificación del Manual o de los documentos señalados dentro del plazo que fije la autoridad, la somete a aprobación, la difunde y conserva la evidencia de su atención.</w:t>
      </w:r>
    </w:p>
    <w:p>
      <w:pPr>
        <w:shd w:fill="1F3864" w:val="clear"/>
        <w:spacing w:after="100" w:before="220"/>
      </w:pPr>
      <w:r>
        <w:rPr>
          <w:rFonts w:ascii="Calibri" w:cs="Calibri" w:eastAsia="Calibri" w:hAnsi="Calibri"/>
          <w:b/>
          <w:bCs/>
          <w:color w:val="FFFFFF"/>
          <w:sz w:val="22"/>
          <w:szCs w:val="22"/>
        </w:rPr>
        <w:t xml:space="preserve">Capítulo 24: Glosario</w:t>
      </w:r>
    </w:p>
    <w:p>
      <w:pPr>
        <w:pStyle w:val="ListParagraph"/>
        <w:numPr>
          <w:ilvl w:val="0"/>
          <w:numId w:val="1"/>
        </w:numPr>
        <w:spacing w:after="40"/>
      </w:pPr>
      <w:r>
        <w:rPr>
          <w:rFonts w:ascii="Calibri" w:cs="Calibri" w:eastAsia="Calibri" w:hAnsi="Calibri"/>
          <w:sz w:val="20"/>
          <w:szCs w:val="20"/>
        </w:rPr>
        <w:t xml:space="preserve">LFPIORPI: Ley Federal para la Prevención e Identificación de Operaciones con Recursos de Procedencia Ilícita.</w:t>
      </w:r>
    </w:p>
    <w:p>
      <w:pPr>
        <w:pStyle w:val="ListParagraph"/>
        <w:numPr>
          <w:ilvl w:val="0"/>
          <w:numId w:val="1"/>
        </w:numPr>
        <w:spacing w:after="40"/>
      </w:pPr>
      <w:r>
        <w:rPr>
          <w:rFonts w:ascii="Calibri" w:cs="Calibri" w:eastAsia="Calibri" w:hAnsi="Calibri"/>
          <w:sz w:val="20"/>
          <w:szCs w:val="20"/>
        </w:rPr>
        <w:t xml:space="preserve">LFCP: Ley Federal de Correduría Pública.</w:t>
      </w:r>
    </w:p>
    <w:p>
      <w:pPr>
        <w:pStyle w:val="ListParagraph"/>
        <w:numPr>
          <w:ilvl w:val="0"/>
          <w:numId w:val="1"/>
        </w:numPr>
        <w:spacing w:after="40"/>
      </w:pPr>
      <w:r>
        <w:rPr>
          <w:rFonts w:ascii="Calibri" w:cs="Calibri" w:eastAsia="Calibri" w:hAnsi="Calibri"/>
          <w:sz w:val="20"/>
          <w:szCs w:val="20"/>
        </w:rPr>
        <w:t xml:space="preserve">Corredor Público: particular habilitado por la Secretaría de Economía para ejercer, entre otras funciones, la fe pública en materia mercantil.</w:t>
      </w:r>
    </w:p>
    <w:p>
      <w:pPr>
        <w:pStyle w:val="ListParagraph"/>
        <w:numPr>
          <w:ilvl w:val="0"/>
          <w:numId w:val="1"/>
        </w:numPr>
        <w:spacing w:after="40"/>
      </w:pPr>
      <w:r>
        <w:rPr>
          <w:rFonts w:ascii="Calibri" w:cs="Calibri" w:eastAsia="Calibri" w:hAnsi="Calibri"/>
          <w:sz w:val="20"/>
          <w:szCs w:val="20"/>
        </w:rPr>
        <w:t xml:space="preserve">Póliza / Acta: instrumentos en que el Corredor hace constar, respectivamente, actos o contratos y hechos de naturaleza mercantil.</w:t>
      </w:r>
    </w:p>
    <w:p>
      <w:pPr>
        <w:pStyle w:val="ListParagraph"/>
        <w:numPr>
          <w:ilvl w:val="0"/>
          <w:numId w:val="1"/>
        </w:numPr>
        <w:spacing w:after="40"/>
      </w:pPr>
      <w:r>
        <w:rPr>
          <w:rFonts w:ascii="Calibri" w:cs="Calibri" w:eastAsia="Calibri" w:hAnsi="Calibri"/>
          <w:sz w:val="20"/>
          <w:szCs w:val="20"/>
        </w:rPr>
        <w:t xml:space="preserve">UMA: Unidad de Medida y Actualización.</w:t>
      </w:r>
    </w:p>
    <w:p>
      <w:pPr>
        <w:pStyle w:val="ListParagraph"/>
        <w:numPr>
          <w:ilvl w:val="0"/>
          <w:numId w:val="1"/>
        </w:numPr>
        <w:spacing w:after="40"/>
      </w:pPr>
      <w:r>
        <w:rPr>
          <w:rFonts w:ascii="Calibri" w:cs="Calibri" w:eastAsia="Calibri" w:hAnsi="Calibri"/>
          <w:sz w:val="20"/>
          <w:szCs w:val="20"/>
        </w:rPr>
        <w:t xml:space="preserve">PLD/FT: Prevención de Lavado de Dinero y Financiamiento al Terrorismo.</w:t>
      </w:r>
    </w:p>
    <w:p>
      <w:pPr>
        <w:pStyle w:val="ListParagraph"/>
        <w:numPr>
          <w:ilvl w:val="0"/>
          <w:numId w:val="1"/>
        </w:numPr>
        <w:spacing w:after="40"/>
      </w:pPr>
      <w:r>
        <w:rPr>
          <w:rFonts w:ascii="Calibri" w:cs="Calibri" w:eastAsia="Calibri" w:hAnsi="Calibri"/>
          <w:sz w:val="20"/>
          <w:szCs w:val="20"/>
        </w:rPr>
        <w:t xml:space="preserve">Beneficiario Controlador: persona física que en última instancia obtiene el beneficio o ejerce el control efectivo del acto u operación.</w:t>
      </w:r>
    </w:p>
    <w:p>
      <w:pPr>
        <w:pStyle w:val="ListParagraph"/>
        <w:numPr>
          <w:ilvl w:val="0"/>
          <w:numId w:val="1"/>
        </w:numPr>
        <w:spacing w:after="40"/>
      </w:pPr>
      <w:r>
        <w:rPr>
          <w:rFonts w:ascii="Calibri" w:cs="Calibri" w:eastAsia="Calibri" w:hAnsi="Calibri"/>
          <w:sz w:val="20"/>
          <w:szCs w:val="20"/>
        </w:rPr>
        <w:t xml:space="preserve">SPPLD: Sistema/Portal de Prevención de Lavado de Dinero del SAT.</w:t>
      </w:r>
    </w:p>
    <w:p/>
    <w:p>
      <w:pPr>
        <w:keepNext/>
        <w:pageBreakBefore/>
        <w:shd w:fill="1F3864" w:val="clear"/>
        <w:spacing w:after="100" w:before="220"/>
      </w:pPr>
      <w:r>
        <w:rPr>
          <w:rFonts w:ascii="Calibri" w:cs="Calibri" w:eastAsia="Calibri" w:hAnsi="Calibri"/>
          <w:b/>
          <w:bCs/>
          <w:color w:val="FFFFFF"/>
          <w:sz w:val="22"/>
          <w:szCs w:val="22"/>
        </w:rPr>
        <w:t xml:space="preserve">Anexo A. Correspondencia con el contenido mínimo del Manual (Arts. 37 y 37 Bis RCG)</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900"/>
        <w:gridCol w:w="2200"/>
        <w:gridCol w:w="2500"/>
      </w:tblGrid>
      <w:tr>
        <w:trPr>
          <w:tblHeader/>
        </w:trPr>
        <w:tc>
          <w:tcPr>
            <w:tcW w:type="dxa" w:w="9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Fracc.</w:t>
            </w:r>
          </w:p>
        </w:tc>
        <w:tc>
          <w:tcPr>
            <w:tcW w:type="dxa" w:w="39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Contenido mínimo</w:t>
            </w:r>
          </w:p>
        </w:tc>
        <w:tc>
          <w:tcPr>
            <w:tcW w:type="dxa" w:w="2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Capítulo de este Manual</w:t>
            </w:r>
          </w:p>
        </w:tc>
        <w:tc>
          <w:tcPr>
            <w:tcW w:type="dxa" w:w="25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Documento del Programa</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Identificación y conocimiento de Clientes o Usuarias, incluido el Beneficiario Controlador</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4, 4.2, 6 y 17</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D7-COR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Mecanismos de clasificación de Riesgo</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5 y 5.1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Debida diligencia según el Grado de Riesgo</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5, 5.2 a 5.4; Anexo B</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D6-COR, D7-COR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IV</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Identificación y seguimiento reforzado de PEP</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6 y 6.1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D8-COR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V</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Detección de desviaciones del Perfil Transaccional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13, 13.1 y 13.2</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D9-COR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VI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Presentación de Avisos e Informes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7, 9 y 9.1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D9-COR, D12-COR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VII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Conservación de información y documentación</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10 y 10.1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D10-COR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VIII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Seguimiento de actos (sin acumulación en el Apartado B, Art. 19 RCG)</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14</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D12-COR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IX</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Identificación de personas en listas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15 y 15.1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Funciones y responsabilidades (ejercidas personalmente por el Corredor Público Titular, Art. 20, último párrafo, de la Ley)</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3.1 a 3.3</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D2-COR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Programas de capacitación</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11, 11.1 y 21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D11-COR, D11B-COR, D11C-COR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Control interno, supervisión y auditoría</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12, 12.1 y 20</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D13-COR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XIII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Confidencialidad de la información</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16 y 16.1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XIV</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Actualización del Manual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23 y 23.1; Anexo D</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Art. 37, 3er párr.</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Apertura, limitación y terminación de relaciones comerciales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19</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37 Bis 1</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Grupo Empresarial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No aplica (persona física)</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37 Bis 2</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Supuestos que no se realizan (exención)</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2</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37 Bis 3</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Modificaciones ordenadas por el SAT</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23.1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10 Septies</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Diseño de la metodología de evaluación de Riesgos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5 y 5.1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Art. 17</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Criterios de Riesgo bajo</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5.2</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D6-COR</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Art. 18</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Actos u operaciones por medios electrónicos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2.2</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39 Bis 2</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Selección de personal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21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Arts. 13 y 13 Bis</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Solicitante material; fe pública al Poder Judicial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17 y 18</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D7-COR</w:t>
            </w:r>
          </w:p>
        </w:tc>
      </w:tr>
    </w:tbl>
    <w:p>
      <w:pPr>
        <w:spacing w:after="80"/>
      </w:pPr>
    </w:p>
    <w:p>
      <w:pPr>
        <w:keepNext/>
        <w:pageBreakBefore/>
        <w:shd w:fill="1F3864" w:val="clear"/>
        <w:spacing w:after="100" w:before="220"/>
      </w:pPr>
      <w:r>
        <w:rPr>
          <w:rFonts w:ascii="Calibri" w:cs="Calibri" w:eastAsia="Calibri" w:hAnsi="Calibri"/>
          <w:b/>
          <w:bCs/>
          <w:color w:val="FFFFFF"/>
          <w:sz w:val="22"/>
          <w:szCs w:val="22"/>
        </w:rPr>
        <w:t xml:space="preserve">Anexo B. Cuestionario de Identificación Reforzada (Arts. 23 Ter 3 y 23 Ter 4 RCG)</w:t>
      </w:r>
    </w:p>
    <w:p>
      <w:pPr>
        <w:spacing w:after="110"/>
      </w:pPr>
      <w:r>
        <w:rPr>
          <w:rFonts w:ascii="Calibri" w:cs="Calibri" w:eastAsia="Calibri" w:hAnsi="Calibri"/>
          <w:i/>
          <w:iCs/>
          <w:color w:val="666666"/>
          <w:sz w:val="19"/>
          <w:szCs w:val="19"/>
        </w:rPr>
        <w:t xml:space="preserve">Se aplica a Clientes o Usuarias de Riesgo alto al alta y en cada reevaluación. Puede llenarse a distancia, siempre con la Firma Electrónica de quien lo suscribe. Se integra al expediente del cliente.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300"/>
      </w:tblGrid>
      <w:tr>
        <w:trPr>
          <w:tblHeader/>
        </w:trPr>
        <w:tc>
          <w:tcPr>
            <w:tcW w:type="dxa" w:w="4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Rubro</w:t>
            </w:r>
          </w:p>
        </w:tc>
        <w:tc>
          <w:tcPr>
            <w:tcW w:type="dxa" w:w="5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Respuesta del Cliente o Usuaria</w:t>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Nombre, denominación o razón social; RFC / CURP</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Actividad, ocupación o giro preponderante; empleador o principales clientes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Ingresos o ventas anuales aproximados y su fuente</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Origen de los recursos para este acto u operación (ahorro, venta de bien, crédito, utilidades, herencia, otro) y documento que lo soporta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Cuentas e instituciones financieras de donde provienen los recursos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Destino de los recursos o del bien (uso propio, inversión, reventa, arrendamiento, otro)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Actos u operaciones que estima realizar: número, frecuencia y monto máximo mensual</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Terceros que pagarán o recibirán recursos y su relación con el cliente</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Personas físicas: cónyuge y dependientes económicos (nombre, fecha de nacimiento, nacionalidad, CURP o RFC)</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Sociedades o asociaciones con vínculos patrimoniales (denominación, RFC, % de participación)</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Personas morales: principales accionistas o socios y Beneficiario Controlador (nombre, % de participación)</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¿Es o ha sido PEP, o es cónyuge, pariente hasta el segundo grado o socio de una PEP? Cargo y periodo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No residentes: razones para realizar el acto u operación en México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Declaro bajo protesta de decir verdad que la información es correcta y que los recursos son de procedencia lícita. Firma autógrafa o Firma Electrónica y fecha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Revisó (nombre, firma y fecha) y conclusión: [ ] Se acepta  [ ] Se acepta con medidas adicionales  [ ] No se acepta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80"/>
      </w:pPr>
    </w:p>
    <w:p>
      <w:pPr>
        <w:keepNext/>
        <w:pageBreakBefore/>
        <w:shd w:fill="1F3864" w:val="clear"/>
        <w:spacing w:after="100" w:before="220"/>
      </w:pPr>
      <w:r>
        <w:rPr>
          <w:rFonts w:ascii="Calibri" w:cs="Calibri" w:eastAsia="Calibri" w:hAnsi="Calibri"/>
          <w:b/>
          <w:bCs/>
          <w:color w:val="FFFFFF"/>
          <w:sz w:val="22"/>
          <w:szCs w:val="22"/>
        </w:rPr>
        <w:t xml:space="preserve">Anexo C. Descripción Operativa</w:t>
      </w:r>
    </w:p>
    <w:p>
      <w:pPr>
        <w:spacing w:after="110"/>
      </w:pPr>
      <w:r>
        <w:rPr>
          <w:rFonts w:ascii="Calibri" w:cs="Calibri" w:eastAsia="Calibri" w:hAnsi="Calibri"/>
          <w:i/>
          <w:iCs/>
          <w:color w:val="666666"/>
          <w:sz w:val="19"/>
          <w:szCs w:val="19"/>
        </w:rPr>
        <w:t xml:space="preserve">Se llena antes de adoptar el Manual y se actualiza cada vez que cambie la operación. Lo firma el Corredor Público Titular. Su objeto es que este Manual refleje la forma en que la Correduría realmente opera.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300"/>
      </w:tblGrid>
      <w:tr>
        <w:trPr>
          <w:tblHeader/>
        </w:trPr>
        <w:tc>
          <w:tcPr>
            <w:tcW w:type="dxa" w:w="4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Concepto</w:t>
            </w:r>
          </w:p>
        </w:tc>
        <w:tc>
          <w:tcPr>
            <w:tcW w:type="dxa" w:w="5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Descripción</w:t>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Actividades que se realizan (fracciones o incisos del Art. 17)</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Oficinas, sucursales o plazas donde se opera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Áreas que intervienen y número de personas en cada una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Canales de captación y de formalización (presencial, intermediarios, medios electrónicos)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Volumen anual aproximado: clientes, actos u operaciones y monto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Formas de pago que se aceptan</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Sistemas o herramientas para expedientes, alertas y control de Avisos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Responsable del cumplimiento, suplente y personas autorizadas para acceder a expedientes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Flujo del acto u operación: 1) captación → 2) identificación y expediente → 3) clasificación de Riesgo y consulta de listas/PEP → 4) verificación previa → 5) formalización y recepción de recursos → 6) Aviso o informe y resguardo (responsable de cada paso)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80"/>
      </w:pPr>
    </w:p>
    <w:p>
      <w:pPr>
        <w:keepNext/>
        <w:pageBreakBefore/>
        <w:shd w:fill="1F3864" w:val="clear"/>
        <w:spacing w:after="100" w:before="220"/>
      </w:pPr>
      <w:r>
        <w:rPr>
          <w:rFonts w:ascii="Calibri" w:cs="Calibri" w:eastAsia="Calibri" w:hAnsi="Calibri"/>
          <w:b/>
          <w:bCs/>
          <w:color w:val="FFFFFF"/>
          <w:sz w:val="22"/>
          <w:szCs w:val="22"/>
        </w:rPr>
        <w:t xml:space="preserve">Anexo D. Control de versiones y acuse de difusión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4100"/>
        <w:gridCol w:w="2200"/>
      </w:tblGrid>
      <w:tr>
        <w:trPr>
          <w:tblHeader/>
        </w:trPr>
        <w:tc>
          <w:tcPr>
            <w:tcW w:type="dxa" w:w="1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Versión</w:t>
            </w:r>
          </w:p>
        </w:tc>
        <w:tc>
          <w:tcPr>
            <w:tcW w:type="dxa" w:w="19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Fecha de aprobación</w:t>
            </w:r>
          </w:p>
        </w:tc>
        <w:tc>
          <w:tcPr>
            <w:tcW w:type="dxa" w:w="41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Cambios</w:t>
            </w:r>
          </w:p>
        </w:tc>
        <w:tc>
          <w:tcPr>
            <w:tcW w:type="dxa" w:w="2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Aprobó</w:t>
            </w:r>
          </w:p>
        </w:tc>
      </w:tr>
      <w:tr>
        <w:trPr>
          <w:cantSplit/>
        </w:trPr>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[VERSION]</w:t>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[Fecha de adopción]</w:t>
            </w:r>
          </w:p>
        </w:tc>
        <w:tc>
          <w:tcPr>
            <w:tcW w:type="dxa" w:w="4100"/>
            <w:tcMar>
              <w:top w:type="dxa" w:w="60"/>
              <w:left w:type="dxa" w:w="100"/>
              <w:bottom w:type="dxa" w:w="60"/>
              <w:right w:type="dxa" w:w="100"/>
            </w:tcMar>
          </w:tcPr>
          <w:p>
            <w:pPr>
              <w:spacing w:after="0"/>
            </w:pPr>
            <w:r>
              <w:rPr>
                <w:rFonts w:ascii="Calibri" w:cs="Calibri" w:eastAsia="Calibri" w:hAnsi="Calibri"/>
                <w:sz w:val="18"/>
                <w:szCs w:val="18"/>
              </w:rPr>
              <w:t xml:space="preserve">Adopción inicial — plantilla Certus PLD, edición octubre 2026 (Acuerdo 115/2026; Capítulo X RCG)</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41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41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80"/>
      </w:pPr>
    </w:p>
    <w:p>
      <w:pPr>
        <w:spacing w:after="110"/>
      </w:pPr>
      <w:r>
        <w:rPr>
          <w:rFonts w:ascii="Calibri" w:cs="Calibri" w:eastAsia="Calibri" w:hAnsi="Calibri"/>
          <w:sz w:val="20"/>
          <w:szCs w:val="20"/>
        </w:rPr>
        <w:t xml:space="preserve">Acuse de recepción y lectura. Las personas abajo firmantes recibimos la versión vigente de este Manual, la leímos y nos comprometemos a cumplirla: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600"/>
        <w:gridCol w:w="1600"/>
        <w:gridCol w:w="2000"/>
      </w:tblGrid>
      <w:tr>
        <w:trPr>
          <w:tblHeader/>
        </w:trPr>
        <w:tc>
          <w:tcPr>
            <w:tcW w:type="dxa" w:w="3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Nombre completo</w:t>
            </w:r>
          </w:p>
        </w:tc>
        <w:tc>
          <w:tcPr>
            <w:tcW w:type="dxa" w:w="26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Puesto</w:t>
            </w:r>
          </w:p>
        </w:tc>
        <w:tc>
          <w:tcPr>
            <w:tcW w:type="dxa" w:w="16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Fecha</w:t>
            </w:r>
          </w:p>
        </w:tc>
        <w:tc>
          <w:tcPr>
            <w:tcW w:type="dxa" w:w="20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Firma</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80"/>
      </w:pPr>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2026-09-09T01:37:42.627Z</dcterms:created>
  <dcterms:modified xsi:type="dcterms:W3CDTF">2026-09-09T01:37:42.627Z</dcterms:modified>
</cp:coreProperties>
</file>

<file path=docProps/custom.xml><?xml version="1.0" encoding="utf-8"?>
<Properties xmlns="http://schemas.openxmlformats.org/officeDocument/2006/custom-properties" xmlns:vt="http://schemas.openxmlformats.org/officeDocument/2006/docPropsVTypes"/>
</file>