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D11-B COR </w:t>
            </w:r>
            <w:r>
              <w:rPr>
                <w:rFonts w:ascii="Calibri" w:cs="Calibri" w:eastAsia="Calibri" w:hAnsi="Calibri"/>
                <w:b/>
                <w:bCs/>
                <w:color w:val="FFFFFF"/>
                <w:sz w:val="22"/>
                <w:szCs w:val="22"/>
              </w:rPr>
              <w:t xml:space="preserve">Casos Prácticos — Certus PLD (Corredurías Públicas)</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Correduría: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[Denominación de la Correduría]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Fecha: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[Fecha]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Uso:</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Material de capacitación presencial — Programa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Elaboró:</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Certus Consultores │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Instrucciones:</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Leer cada caso en grupo, responder las preguntas antes de revisar la respuesta modelo</w:t>
            </w:r>
          </w:p>
        </w:tc>
      </w:tr>
    </w:tbl>
    <w:p/>
    <w:p>
      <w:pPr>
        <w:spacing w:after="110"/>
      </w:pPr>
      <w:r>
        <w:rPr>
          <w:rFonts w:ascii="Calibri" w:cs="Calibri" w:eastAsia="Calibri" w:hAnsi="Calibri"/>
          <w:i/>
          <w:iCs/>
          <w:sz w:val="20"/>
          <w:szCs w:val="20"/>
        </w:rPr>
        <w:t xml:space="preserve">Los siguientes 7 casos prácticos están diseñados para reforzar el aprendizaje del Programa Certus PLD a través de situaciones reales de la correduría pública bajo la Fracción XII, Apartado B. Cada caso presenta una situación típica, preguntas de análisis y una respuesta modelo detallada.</w:t>
      </w:r>
    </w:p>
    <w:p>
      <w:pPr>
        <w:spacing w:after="40" w:before="220"/>
      </w:pPr>
      <w:r>
        <w:rPr>
          <w:rFonts w:ascii="Calibri" w:cs="Calibri" w:eastAsia="Calibri" w:hAnsi="Calibri"/>
          <w:b/>
          <w:bCs/>
          <w:color w:val="0A1628"/>
          <w:sz w:val="21"/>
          <w:szCs w:val="21"/>
        </w:rPr>
        <w:t xml:space="preserve">Caso 1: La constitución que "no ameritaba aviso"</w:t>
      </w:r>
    </w:p>
    <w:p>
      <w:pPr>
        <w:spacing w:after="80" w:before="40"/>
      </w:pPr>
      <w:r>
        <w:rPr>
          <w:rFonts w:ascii="Calibri" w:cs="Calibri" w:eastAsia="Calibri" w:hAnsi="Calibri"/>
          <w:b/>
          <w:bCs/>
          <w:i/>
          <w:iCs/>
          <w:color w:val="0A1628"/>
          <w:sz w:val="18"/>
          <w:szCs w:val="18"/>
        </w:rPr>
        <w:t xml:space="preserve">Módulo 1 — Marco Normativo</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La Corredora Patricia formaliza la constitución de una sociedad de responsabilidad limitada de capital variable, con un capital mínimo fijo de $50,000 MXN suscrito por dos socios personas físicas. Como el monto es muy inferior a cualquier umbral en UMA que conoce, la Corredora considera que "no se alcanzó el umbral" y no presenta Aviso.</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 la Corredora Patricia?</w:t>
      </w:r>
    </w:p>
    <w:p>
      <w:pPr>
        <w:spacing w:after="110"/>
      </w:pPr>
      <w:r>
        <w:rPr>
          <w:rFonts w:ascii="Calibri" w:cs="Calibri" w:eastAsia="Calibri" w:hAnsi="Calibri"/>
          <w:sz w:val="20"/>
          <w:szCs w:val="20"/>
        </w:rPr>
        <w:t xml:space="preserve">2. ¿Qué inciso de la Fracción XII, Apartado B, aplica a este acto?</w:t>
      </w:r>
    </w:p>
    <w:p>
      <w:pPr>
        <w:spacing w:after="110"/>
      </w:pPr>
      <w:r>
        <w:rPr>
          <w:rFonts w:ascii="Calibri" w:cs="Calibri" w:eastAsia="Calibri" w:hAnsi="Calibri"/>
          <w:sz w:val="20"/>
          <w:szCs w:val="20"/>
        </w:rPr>
        <w:t xml:space="preserve">3. ¿Es relevante el monto del capital para decidir si se presenta el Aviso?</w:t>
      </w:r>
    </w:p>
    <w:p>
      <w:pPr>
        <w:spacing w:after="110"/>
      </w:pPr>
      <w:r>
        <w:rPr>
          <w:rFonts w:ascii="Calibri" w:cs="Calibri" w:eastAsia="Calibri" w:hAnsi="Calibri"/>
          <w:sz w:val="20"/>
          <w:szCs w:val="20"/>
        </w:rPr>
        <w:t xml:space="preserve">4. ¿Qué exposición sancionatoria tiene la Corredora por no haberlo presentado?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La constitución de personas morales mercantiles cae en el inciso b) de la Fracción XII, Apartado B. Ese inciso no contiene monto alguno, ni el Reglamento ni las RCG fijan uno, el Apartado B remite a los términos de cada inciso y el artículo 19 de las RCG excluye todos sus incisos de la acumulación; por eso el criterio del Programa (D1-COR, sección 2.3) es avisar todo acto del inciso b), cualquiera que sea el capital. La omisión expone a una multa de 10,000 a 65,000 UMA (Art. 54, fr. III) — aquí rige el mínimo en UMA ($1,173,100), por ser mayor que el 10%–100% del capital —, y cualquier omisión de Avisos (Art. 53, fr. VI) es "notoria deficiencia" que la Secretaría informa a la Secretaría de Economía (Art. 58).</w:t>
            </w:r>
          </w:p>
        </w:tc>
      </w:tr>
    </w:tbl>
    <w:p>
      <w:pPr>
        <w:spacing w:after="40" w:before="220"/>
      </w:pPr>
      <w:r>
        <w:rPr>
          <w:rFonts w:ascii="Calibri" w:cs="Calibri" w:eastAsia="Calibri" w:hAnsi="Calibri"/>
          <w:b/>
          <w:bCs/>
          <w:color w:val="0A1628"/>
          <w:sz w:val="21"/>
          <w:szCs w:val="21"/>
        </w:rPr>
        <w:t xml:space="preserve">Caso 2: Las acciones que se pagan en efectivo</w:t>
      </w:r>
    </w:p>
    <w:p>
      <w:pPr>
        <w:spacing w:after="80" w:before="40"/>
      </w:pPr>
      <w:r>
        <w:rPr>
          <w:rFonts w:ascii="Calibri" w:cs="Calibri" w:eastAsia="Calibri" w:hAnsi="Calibri"/>
          <w:b/>
          <w:bCs/>
          <w:i/>
          <w:iCs/>
          <w:color w:val="0A1628"/>
          <w:sz w:val="18"/>
          <w:szCs w:val="18"/>
        </w:rPr>
        <w:t xml:space="preserve">Módulo 2 — Señales de Alerta</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Ante el Corredor comparecen las partes para formalizar la compraventa del 40% de las acciones de una sociedad anónima por $1,200,000 MXN. El comprador propone pagar $500,000 MXN en efectivo el día de la firma y el resto "en unos días, ya vemos cómo". Cuando se le pregunta a qué se dedica, responde que "tiene varios negocios" sin especificar cuáles, y su comprobante de domicilio corresponde a un estado distinto al de su identificación oficial.</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¿Cuántas señales de alerta identificas en esta situación?</w:t>
      </w:r>
    </w:p>
    <w:p>
      <w:pPr>
        <w:spacing w:after="110"/>
      </w:pPr>
      <w:r>
        <w:rPr>
          <w:rFonts w:ascii="Calibri" w:cs="Calibri" w:eastAsia="Calibri" w:hAnsi="Calibri"/>
          <w:sz w:val="20"/>
          <w:szCs w:val="20"/>
        </w:rPr>
        <w:t xml:space="preserve">2. ¿Puede aceptarse el pago en efectivo de $500,000 MXN?</w:t>
      </w:r>
    </w:p>
    <w:p>
      <w:pPr>
        <w:spacing w:after="110"/>
      </w:pPr>
      <w:r>
        <w:rPr>
          <w:rFonts w:ascii="Calibri" w:cs="Calibri" w:eastAsia="Calibri" w:hAnsi="Calibri"/>
          <w:sz w:val="20"/>
          <w:szCs w:val="20"/>
        </w:rPr>
        <w:t xml:space="preserve">3. ¿Qué debe hacer el Corredor antes de formalizar la póliza?</w:t>
      </w:r>
    </w:p>
    <w:p>
      <w:pPr>
        <w:spacing w:after="110"/>
      </w:pPr>
      <w:r>
        <w:rPr>
          <w:rFonts w:ascii="Calibri" w:cs="Calibri" w:eastAsia="Calibri" w:hAnsi="Calibri"/>
          <w:sz w:val="20"/>
          <w:szCs w:val="20"/>
        </w:rPr>
        <w:t xml:space="preserve">4. ¿Qué exige el artículo 33 en este caso?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Se identifican al menos 4 señales de alerta: (1) pretensión de pagar en efectivo, (2) origen de recursos vago ("tengo varios negocios"), (3) domicilio inconsistente con la identificación, (4) forma de pago del saldo sin definir. El pago en efectivo NO puede aceptarse: la transmisión de acciones por un valor igual o superior a 3,210 UMA (~$376,565 MXN) no puede liquidarse en efectivo (Art. 32, fr. VI), y participar en la operación prohibida se sanciona con 10,000 a 65,000 UMA o del 10% al 100% del valor del acto (Arts. 53, fr. VII, y 54, fr. III), además de constituir "notoria deficiencia" (Art. 58). Antes de formalizar, el Corredor completa el expediente D7-COR con soporte del origen de los recursos y del beneficiario controlador. Como el valor ($1,200,000) es igual o superior a 8,025 UMA, la póliza debe identificar la forma de pago (Art. 33). De concretarse, el acto es objeto de Aviso por el inciso b); la combinación de señales amerita un Reporte de Operación Inusual (D9-COR) y, generada la sospecha, el Aviso dentro de las 24 horas siguientes, aun si la operación no se celebra.</w:t>
            </w:r>
          </w:p>
        </w:tc>
      </w:tr>
    </w:tbl>
    <w:p>
      <w:pPr>
        <w:spacing w:after="40" w:before="220"/>
      </w:pPr>
      <w:r>
        <w:rPr>
          <w:rFonts w:ascii="Calibri" w:cs="Calibri" w:eastAsia="Calibri" w:hAnsi="Calibri"/>
          <w:b/>
          <w:bCs/>
          <w:color w:val="0A1628"/>
          <w:sz w:val="21"/>
          <w:szCs w:val="21"/>
        </w:rPr>
        <w:t xml:space="preserve">Caso 3: La sociedad de la cascada</w:t>
      </w:r>
    </w:p>
    <w:p>
      <w:pPr>
        <w:spacing w:after="80" w:before="40"/>
      </w:pPr>
      <w:r>
        <w:rPr>
          <w:rFonts w:ascii="Calibri" w:cs="Calibri" w:eastAsia="Calibri" w:hAnsi="Calibri"/>
          <w:b/>
          <w:bCs/>
          <w:i/>
          <w:iCs/>
          <w:color w:val="0A1628"/>
          <w:sz w:val="18"/>
          <w:szCs w:val="18"/>
        </w:rPr>
        <w:t xml:space="preserve">Módulo 3 — Beneficiario Controlador</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En una asamblea de aumento de capital que se formaliza ante el Corredor, ingresa como nueva accionista una persona moral constituida en el extranjero, que suscribe el 60% del capital. Al solicitar la documentación del beneficiario controlador, el gestor indica que "eso no es necesario porque el accionista es una empresa, no una persona física" y que basta con los datos del apoderado que comparece.</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del gestor?</w:t>
      </w:r>
    </w:p>
    <w:p>
      <w:pPr>
        <w:spacing w:after="110"/>
      </w:pPr>
      <w:r>
        <w:rPr>
          <w:rFonts w:ascii="Calibri" w:cs="Calibri" w:eastAsia="Calibri" w:hAnsi="Calibri"/>
          <w:sz w:val="20"/>
          <w:szCs w:val="20"/>
        </w:rPr>
        <w:t xml:space="preserve">2. ¿Qué exige el artículo 18, fracción III, y en qué orden se identifica al beneficiario controlador?</w:t>
      </w:r>
    </w:p>
    <w:p>
      <w:pPr>
        <w:spacing w:after="110"/>
      </w:pPr>
      <w:r>
        <w:rPr>
          <w:rFonts w:ascii="Calibri" w:cs="Calibri" w:eastAsia="Calibri" w:hAnsi="Calibri"/>
          <w:sz w:val="20"/>
          <w:szCs w:val="20"/>
        </w:rPr>
        <w:t xml:space="preserve">3. ¿Basta con identificar al apoderado que comparece?</w:t>
      </w:r>
    </w:p>
    <w:p>
      <w:pPr>
        <w:spacing w:after="110"/>
      </w:pPr>
      <w:r>
        <w:rPr>
          <w:rFonts w:ascii="Calibri" w:cs="Calibri" w:eastAsia="Calibri" w:hAnsi="Calibri"/>
          <w:sz w:val="20"/>
          <w:szCs w:val="20"/>
        </w:rPr>
        <w:t xml:space="preserve">4. ¿Qué riesgo representa una estructura en cascada para efectos PLD/FT?</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Cuando el cliente o adquirente es persona moral, el Corredor debe recabar los documentos que permitan identificar a la persona física que en última instancia la controla (Art. 18, fr. III), aplicando el orden de prelación del Art. 23 Quinquies RCG — quien tenga el 25% o más del capital; si no existe, quien controle por otros medios; en último término, el funcionario administrativo de mayor grado — y ascendiendo por la cadena de titularidad hasta llegar a una persona física. El apoderado es solo el representante del acto, no el beneficiario controlador. Una estructura extranjera en cascada eleva el riesgo en los Factores 1 y 3 de la Metodología EBR (D6-COR); si el país es de régimen fiscal preferente o está en listas de alto riesgo, el cliente es de riesgo alto (Art. 23 Bis 4 RCG). El expediente se documenta en la Sección E del D7-COR antes de formalizar, y el aumento de capital es objeto de Aviso por el inciso b).</w:t>
            </w:r>
          </w:p>
        </w:tc>
      </w:tr>
    </w:tbl>
    <w:p>
      <w:pPr>
        <w:spacing w:after="40" w:before="220"/>
      </w:pPr>
      <w:r>
        <w:rPr>
          <w:rFonts w:ascii="Calibri" w:cs="Calibri" w:eastAsia="Calibri" w:hAnsi="Calibri"/>
          <w:b/>
          <w:bCs/>
          <w:color w:val="0A1628"/>
          <w:sz w:val="21"/>
          <w:szCs w:val="21"/>
        </w:rPr>
        <w:t xml:space="preserve">Caso 4: El regidor que cede sus derechos</w:t>
      </w:r>
    </w:p>
    <w:p>
      <w:pPr>
        <w:spacing w:after="80" w:before="40"/>
      </w:pPr>
      <w:r>
        <w:rPr>
          <w:rFonts w:ascii="Calibri" w:cs="Calibri" w:eastAsia="Calibri" w:hAnsi="Calibri"/>
          <w:b/>
          <w:bCs/>
          <w:i/>
          <w:iCs/>
          <w:color w:val="0A1628"/>
          <w:sz w:val="18"/>
          <w:szCs w:val="18"/>
        </w:rPr>
        <w:t xml:space="preserve">Módulo 4 — PEP's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 cliente solicita formalizar la cesión de sus derechos de fideicomisario en un fideicomiso de administración, a favor de un tercero, por $4,500,000 MXN. Durante la identificación menciona que actualmente es Regidor del Ayuntamiento. El auxiliar que lo atiende considera que, como "está cediendo, no adquiriendo", no hace falta aplicar el procedimiento de PEP's, y que una cesión "no es un fideicomiso nuevo, así que no entra en la Ley".</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distinción que hace el auxiliar entre ceder y adquirir?</w:t>
      </w:r>
    </w:p>
    <w:p>
      <w:pPr>
        <w:spacing w:after="110"/>
      </w:pPr>
      <w:r>
        <w:rPr>
          <w:rFonts w:ascii="Calibri" w:cs="Calibri" w:eastAsia="Calibri" w:hAnsi="Calibri"/>
          <w:sz w:val="20"/>
          <w:szCs w:val="20"/>
        </w:rPr>
        <w:t xml:space="preserve">2. ¿Está el acto comprendido en el Apartado B?</w:t>
      </w:r>
    </w:p>
    <w:p>
      <w:pPr>
        <w:spacing w:after="110"/>
      </w:pPr>
      <w:r>
        <w:rPr>
          <w:rFonts w:ascii="Calibri" w:cs="Calibri" w:eastAsia="Calibri" w:hAnsi="Calibri"/>
          <w:sz w:val="20"/>
          <w:szCs w:val="20"/>
        </w:rPr>
        <w:t xml:space="preserve">3. ¿Qué medidas de debida diligencia reforzada corresponden?</w:t>
      </w:r>
    </w:p>
    <w:p>
      <w:pPr>
        <w:spacing w:after="110"/>
      </w:pPr>
      <w:r>
        <w:rPr>
          <w:rFonts w:ascii="Calibri" w:cs="Calibri" w:eastAsia="Calibri" w:hAnsi="Calibri"/>
          <w:sz w:val="20"/>
          <w:szCs w:val="20"/>
        </w:rPr>
        <w:t xml:space="preserve">4. ¿Puede el auxiliar autorizar el trámite sin escalar al Corredor?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Ambas afirmaciones son incorrectas. La calidad de PEP se evalúa respecto de la persona, con independencia del lado de la operación: deben identificarse y evaluarse cedente y cesionario; un Regidor de Ayuntamiento es PEP (Art. 23 Quáter RCG). La cesión de derechos de fideicomisos está expresamente comprendida en el inciso c) del Apartado B — que, a diferencia del Apartado A, la menciona — y es objeto de Aviso en todo caso. Corresponde debida diligencia reforzada: congruencia del valor con los ingresos y funciones del cedente (Art. 23 Bis 3 RCG), documentación adicional y registro en la Sección F del D7-COR; si además resulta de riesgo alto, el Corredor deja constancia firmada de los motivos para formalizar (Art. 23 Ter 5 RCG). El auxiliar NO puede autorizar por su cuenta: debe escalarlo al Corredor Público Titular conforme a la Política D8-COR.</w:t>
            </w:r>
          </w:p>
        </w:tc>
      </w:tr>
    </w:tbl>
    <w:p>
      <w:pPr>
        <w:spacing w:after="40" w:before="220"/>
      </w:pPr>
      <w:r>
        <w:rPr>
          <w:rFonts w:ascii="Calibri" w:cs="Calibri" w:eastAsia="Calibri" w:hAnsi="Calibri"/>
          <w:b/>
          <w:bCs/>
          <w:color w:val="0A1628"/>
          <w:sz w:val="21"/>
          <w:szCs w:val="21"/>
        </w:rPr>
        <w:t xml:space="preserve">Caso 5: El crédito entre "socios comerciales"</w:t>
      </w:r>
    </w:p>
    <w:p>
      <w:pPr>
        <w:spacing w:after="80" w:before="40"/>
      </w:pPr>
      <w:r>
        <w:rPr>
          <w:rFonts w:ascii="Calibri" w:cs="Calibri" w:eastAsia="Calibri" w:hAnsi="Calibri"/>
          <w:b/>
          <w:bCs/>
          <w:i/>
          <w:iCs/>
          <w:color w:val="0A1628"/>
          <w:sz w:val="18"/>
          <w:szCs w:val="18"/>
        </w:rPr>
        <w:t xml:space="preserve">Módulo 5 — Incisos sin umbral</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Dos sociedades sin relación comercial previa comparecen ante el Corredor para formalizar un contrato de crédito mercantil por $2,000,000 MXN, sin garantía y sin intereses. La acreditante se constituyó hace cuatro meses con un capital de $50,000 MXN y no tiene operaciones conocidas. La acreditada no explica el destino de los recursos.</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¿Este acto requiere Aviso al SAT, y bajo qué inciso?</w:t>
      </w:r>
    </w:p>
    <w:p>
      <w:pPr>
        <w:spacing w:after="110"/>
      </w:pPr>
      <w:r>
        <w:rPr>
          <w:rFonts w:ascii="Calibri" w:cs="Calibri" w:eastAsia="Calibri" w:hAnsi="Calibri"/>
          <w:sz w:val="20"/>
          <w:szCs w:val="20"/>
        </w:rPr>
        <w:t xml:space="preserve">2. ¿Es congruente el monto con el perfil de la acreditante?</w:t>
      </w:r>
    </w:p>
    <w:p>
      <w:pPr>
        <w:spacing w:after="110"/>
      </w:pPr>
      <w:r>
        <w:rPr>
          <w:rFonts w:ascii="Calibri" w:cs="Calibri" w:eastAsia="Calibri" w:hAnsi="Calibri"/>
          <w:sz w:val="20"/>
          <w:szCs w:val="20"/>
        </w:rPr>
        <w:t xml:space="preserve">3. ¿Qué nivel de riesgo asignarías conforme a la Metodología EBR (D6-COR)?</w:t>
      </w:r>
    </w:p>
    <w:p>
      <w:pPr>
        <w:spacing w:after="110"/>
      </w:pPr>
      <w:r>
        <w:rPr>
          <w:rFonts w:ascii="Calibri" w:cs="Calibri" w:eastAsia="Calibri" w:hAnsi="Calibri"/>
          <w:sz w:val="20"/>
          <w:szCs w:val="20"/>
        </w:rPr>
        <w:t xml:space="preserve">4. ¿Qué Avisos procede presentar y en qué plazos?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El acto cae en el inciso d) del Apartado B — crédito mercantil en que el acreedor no forma parte del sistema financiero — y se avisa SIEMPRE, sin importar el monto. El monto no es congruente con una acreditante recién constituida, con capital de $50,000 MXN y sin operaciones (Factores 1 y 2, D6-COR); sumando la ausencia de vínculo, de garantía, de interés y de destino justificado, el riesgo es ALTO. Si las partes proporcionan la información requerida (Art. 21), el Corredor puede formalizar, pero debe documentar un Reporte de Operación Inusual (D9-COR) y, generada la sospecha, presentar el Aviso dentro de las 24 horas siguientes (Art. 18, fr. VI). Ese Aviso es distinto del Aviso ordinario del inciso d), que se presenta a más tardar el día 17 del mes siguiente.</w:t>
            </w:r>
          </w:p>
        </w:tc>
      </w:tr>
    </w:tbl>
    <w:p>
      <w:pPr>
        <w:spacing w:after="40" w:before="220"/>
      </w:pPr>
      <w:r>
        <w:rPr>
          <w:rFonts w:ascii="Calibri" w:cs="Calibri" w:eastAsia="Calibri" w:hAnsi="Calibri"/>
          <w:b/>
          <w:bCs/>
          <w:color w:val="0A1628"/>
          <w:sz w:val="21"/>
          <w:szCs w:val="21"/>
        </w:rPr>
        <w:t xml:space="preserve">Caso 6: El avalúo partido en tres</w:t>
      </w:r>
    </w:p>
    <w:p>
      <w:pPr>
        <w:spacing w:after="80" w:before="40"/>
      </w:pPr>
      <w:r>
        <w:rPr>
          <w:rFonts w:ascii="Calibri" w:cs="Calibri" w:eastAsia="Calibri" w:hAnsi="Calibri"/>
          <w:b/>
          <w:bCs/>
          <w:i/>
          <w:iCs/>
          <w:color w:val="0A1628"/>
          <w:sz w:val="18"/>
          <w:szCs w:val="18"/>
        </w:rPr>
        <w:t xml:space="preserve">Módulo 5 — Avalúos con fe pública</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Una empresa solicita al Corredor tres avalúos con fe pública de la maquinaria de una misma línea de producción que pretende aportar a una sociedad: uno por cada máquina, de $700,000 MXN cada uno ($2,100,000 MXN en total). El representante comenta que "así cada avalúo queda abajo del límite y no hay que reportar nada".</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¿Cada avalúo se compara por separado con el umbral del inciso a)?</w:t>
      </w:r>
    </w:p>
    <w:p>
      <w:pPr>
        <w:spacing w:after="110"/>
      </w:pPr>
      <w:r>
        <w:rPr>
          <w:rFonts w:ascii="Calibri" w:cs="Calibri" w:eastAsia="Calibri" w:hAnsi="Calibri"/>
          <w:sz w:val="20"/>
          <w:szCs w:val="20"/>
        </w:rPr>
        <w:t xml:space="preserve">2. ¿Aplica la acumulación de seis meses?</w:t>
      </w:r>
    </w:p>
    <w:p>
      <w:pPr>
        <w:spacing w:after="110"/>
      </w:pPr>
      <w:r>
        <w:rPr>
          <w:rFonts w:ascii="Calibri" w:cs="Calibri" w:eastAsia="Calibri" w:hAnsi="Calibri"/>
          <w:sz w:val="20"/>
          <w:szCs w:val="20"/>
        </w:rPr>
        <w:t xml:space="preserve">3. ¿Qué implica la intención declarada por el representante?</w:t>
      </w:r>
    </w:p>
    <w:p>
      <w:pPr>
        <w:spacing w:after="110"/>
      </w:pPr>
      <w:r>
        <w:rPr>
          <w:rFonts w:ascii="Calibri" w:cs="Calibri" w:eastAsia="Calibri" w:hAnsi="Calibri"/>
          <w:sz w:val="20"/>
          <w:szCs w:val="20"/>
        </w:rPr>
        <w:t xml:space="preserve">4. ¿Qué otro acto del caso podría ser objeto de Aviso?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El umbral del inciso a) (8,025 UMA, ~$941,413 MXN) se aplica avalúo por avalúo, y el artículo 19 de las RCG excluye los incisos del Apartado B de la acumulación semestral. Sin embargo, el Corredor debe determinar qué es "el bien" avaluado: si la línea de producción opera como una unidad y se valúa para una sola aportación, corresponde un solo avalúo — de $2,100,000 MXN — sujeto a identificación y Aviso. Con independencia de ello, la división manifiesta para evitar el reporte es una señal de alerta: se documenta un ROI (D9-COR) y procede el Aviso por sospecha dentro de 24 horas, que puede presentarse aun cuando el acto no alcance el umbral (Art. 26 Bis 2 RCG). Además, si la aportación de la maquinaria se formaliza ante el Corredor como aumento de capital, ese acto es objeto de Aviso por el inciso b).</w:t>
            </w:r>
          </w:p>
        </w:tc>
      </w:tr>
    </w:tbl>
    <w:p>
      <w:pPr>
        <w:spacing w:after="40" w:before="220"/>
      </w:pPr>
      <w:r>
        <w:rPr>
          <w:rFonts w:ascii="Calibri" w:cs="Calibri" w:eastAsia="Calibri" w:hAnsi="Calibri"/>
          <w:b/>
          <w:bCs/>
          <w:color w:val="0A1628"/>
          <w:sz w:val="21"/>
          <w:szCs w:val="21"/>
        </w:rPr>
        <w:t xml:space="preserve">Caso 7: El aviso que se quedó en el cajón</w:t>
      </w:r>
    </w:p>
    <w:p>
      <w:pPr>
        <w:spacing w:after="80" w:before="40"/>
      </w:pPr>
      <w:r>
        <w:rPr>
          <w:rFonts w:ascii="Calibri" w:cs="Calibri" w:eastAsia="Calibri" w:hAnsi="Calibri"/>
          <w:b/>
          <w:bCs/>
          <w:i/>
          <w:iCs/>
          <w:color w:val="0A1628"/>
          <w:sz w:val="18"/>
          <w:szCs w:val="18"/>
        </w:rPr>
        <w:t xml:space="preserve">Módulo 6 — Avisos e Informes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Es día 20 del mes. Al revisar el control de Avisos (D12-COR), el Corredor descubre que el mes anterior formalizó un aumento de capital (inciso b) cuyo Aviso nunca se presentó porque "como era un monto chico, se pasó por alto". Un colaborador sugiere "mejor no presentarlo tarde, para no generar una alerta innecesaria".</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recomendación del colaborador?</w:t>
      </w:r>
    </w:p>
    <w:p>
      <w:pPr>
        <w:spacing w:after="110"/>
      </w:pPr>
      <w:r>
        <w:rPr>
          <w:rFonts w:ascii="Calibri" w:cs="Calibri" w:eastAsia="Calibri" w:hAnsi="Calibri"/>
          <w:sz w:val="20"/>
          <w:szCs w:val="20"/>
        </w:rPr>
        <w:t xml:space="preserve">2. ¿Qué exposición tiene el Corredor si presenta el Aviso hoy?</w:t>
      </w:r>
    </w:p>
    <w:p>
      <w:pPr>
        <w:spacing w:after="110"/>
      </w:pPr>
      <w:r>
        <w:rPr>
          <w:rFonts w:ascii="Calibri" w:cs="Calibri" w:eastAsia="Calibri" w:hAnsi="Calibri"/>
          <w:sz w:val="20"/>
          <w:szCs w:val="20"/>
        </w:rPr>
        <w:t xml:space="preserve">3. ¿Y si no lo presenta?</w:t>
      </w:r>
    </w:p>
    <w:p>
      <w:pPr>
        <w:spacing w:after="110"/>
      </w:pPr>
      <w:r>
        <w:rPr>
          <w:rFonts w:ascii="Calibri" w:cs="Calibri" w:eastAsia="Calibri" w:hAnsi="Calibri"/>
          <w:sz w:val="20"/>
          <w:szCs w:val="20"/>
        </w:rPr>
        <w:t xml:space="preserve">4. ¿Qué medida debe adoptarse para que esto no vuelva a ocurrir?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La recomendación es incorrecta y riesgosa. Si el Corredor presenta hoy el Aviso — tres días después del límite del día 17 —, se trata de un Aviso extemporáneo dentro de los 30 días siguientes, sancionable con 200 a 2,000 UMA (Arts. 53, fr. III, y 54, fr. I); si lo hace de manera espontánea, antes de cualquier facultad de verificación y reconociendo la falta, puede acogerse al Art. 55 (abstención de sancionar por única ocasión o, si ya se ejerció, reducción de hasta 50%). Si no lo presenta, al vencer los 30 días la falta se sanciona como omisión — 10,000 a 65,000 UMA o del 10% al 100% del valor del acto — y es "notoria deficiencia" que la Secretaría informa a la Secretaría de Economía (Art. 58). Para que no se repita, todos los actos de los incisos b), c) y d) se registran en el D12-COR el mismo día de su firma, sin evaluar montos — porque en esos incisos no hay umbral.</w:t>
            </w:r>
          </w:p>
        </w:tc>
      </w:tr>
    </w:tbl>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2026-09-09T01:42:50.010Z</dcterms:created>
  <dcterms:modified xsi:type="dcterms:W3CDTF">2026-09-09T01:42:50.010Z</dcterms:modified>
</cp:coreProperties>
</file>

<file path=docProps/custom.xml><?xml version="1.0" encoding="utf-8"?>
<Properties xmlns="http://schemas.openxmlformats.org/officeDocument/2006/custom-properties" xmlns:vt="http://schemas.openxmlformats.org/officeDocument/2006/docPropsVTypes"/>
</file>