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F3864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CERTUS PLD</w:t>
            </w:r>
            <w:r>
              <w:rPr>
                <w:rFonts w:ascii="Calibri" w:cs="Calibri" w:eastAsia="Calibri" w:hAnsi="Calibri"/>
                <w:color w:val="B08D57"/>
                <w:sz w:val="22"/>
                <w:szCs w:val="22"/>
              </w:rPr>
              <w:t xml:space="preserve">   |   </w:t>
            </w:r>
            <w:r>
              <w:rPr>
                <w:rFonts w:ascii="Calibri" w:cs="Calibri" w:eastAsia="Calibri" w:hAnsi="Calibri"/>
                <w:b/>
                <w:bCs/>
                <w:color w:val="B08D57"/>
                <w:sz w:val="22"/>
                <w:szCs w:val="22"/>
              </w:rPr>
              <w:t xml:space="preserve">D11-C COR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Evaluación de Comprensión — Certus PLD (Corredurías Públicas)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D9D9D9"/>
                <w:sz w:val="18"/>
                <w:szCs w:val="18"/>
              </w:rPr>
              <w:t xml:space="preserve">Correduría: [Denominación de la Correduría]   │   Variante: Correduría Pública — Fracción XII, Apartado B LFPIORPI</w:t>
            </w:r>
          </w:p>
        </w:tc>
      </w:tr>
    </w:tbl>
    <w:p/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c>
          <w:tcPr>
            <w:tcW w:type="dxa" w:w="30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Nombre del participante: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/>
        </w:tc>
      </w:tr>
      <w:tr>
        <w:tc>
          <w:tcPr>
            <w:tcW w:type="dxa" w:w="30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Cargo: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/>
        </w:tc>
      </w:tr>
      <w:tr>
        <w:tc>
          <w:tcPr>
            <w:tcW w:type="dxa" w:w="30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Correduría: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[Denominación de la Correduría]</w:t>
            </w:r>
          </w:p>
        </w:tc>
      </w:tr>
      <w:tr>
        <w:tc>
          <w:tcPr>
            <w:tcW w:type="dxa" w:w="30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Grupo: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 G1  [ ] G2  [ ] G3  [ ] G4</w:t>
            </w:r>
          </w:p>
        </w:tc>
      </w:tr>
      <w:tr>
        <w:tc>
          <w:tcPr>
            <w:tcW w:type="dxa" w:w="30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Fecha: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/>
        </w:tc>
      </w:tr>
      <w:tr>
        <w:tc>
          <w:tcPr>
            <w:tcW w:type="dxa" w:w="30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Módulos evaluados: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 1  [ ] 2  [ ] 3  [ ] 4  [ ] 5  [ ] 6</w:t>
            </w:r>
          </w:p>
        </w:tc>
      </w:tr>
      <w:tr>
        <w:tc>
          <w:tcPr>
            <w:tcW w:type="dxa" w:w="30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Calificación: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_____ / 20 puntos   │   [ ] APROBADO (≥14)   [ ] REPROBADO (&lt;14)</w:t>
            </w:r>
          </w:p>
        </w:tc>
      </w:tr>
      <w:tr>
        <w:tc>
          <w:tcPr>
            <w:tcW w:type="dxa" w:w="30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Programa:</w:t>
            </w:r>
          </w:p>
        </w:tc>
        <w:tc>
          <w:tcPr>
            <w:tcW w:type="dxa" w:w="6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Certus PLD │ CERTUS CONSULTORES</w:t>
            </w:r>
          </w:p>
        </w:tc>
      </w:tr>
    </w:tbl>
    <w:p/>
    <w:p>
      <w:pPr>
        <w:spacing w:after="9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INSTRUCCIONES: Seleccione la respuesta correcta en cada pregunta de opción múltiple (2 pts c/u). La pregunta 10 es abierta (2 pts). Puntaje máximo: 20 pts. Mínimo aprobatorio: 14 pts. Quien no apruebe repite el módulo correspondiente conforme al Manual (Art. 39 Bis 1 RCG).</w:t>
      </w:r>
    </w:p>
    <w:p>
      <w:pPr>
        <w:pBdr>
          <w:bottom w:val="single" w:color="B08D57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0A1628"/>
          <w:sz w:val="21"/>
          <w:szCs w:val="21"/>
        </w:rPr>
        <w:t xml:space="preserve">Preguntas de opción múltiple (9 x 2 pts = 18 pts)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Pregunta 1 — Marco normativo (Módulo 1)</w:t>
      </w:r>
    </w:p>
    <w:p>
      <w:pPr>
        <w:spacing w:after="90"/>
      </w:pPr>
      <w:r>
        <w:rPr>
          <w:rFonts w:ascii="Calibri" w:cs="Calibri" w:eastAsia="Calibri" w:hAnsi="Calibri"/>
          <w:sz w:val="20"/>
          <w:szCs w:val="20"/>
        </w:rPr>
        <w:t xml:space="preserve">¿Cuáles incisos de la Fracción XII, Apartado B, son objeto de Aviso sin importar el monto del acto?</w:t>
      </w:r>
    </w:p>
    <w:p>
      <w:pPr>
        <w:spacing w:after="30"/>
        <w:ind w:left="300"/>
      </w:pPr>
      <w:r>
        <w:rPr>
          <w:rFonts w:ascii="Calibri" w:cs="Calibri" w:eastAsia="Calibri" w:hAnsi="Calibri"/>
          <w:sz w:val="20"/>
          <w:szCs w:val="20"/>
        </w:rPr>
        <w:t xml:space="preserve">[ ] A) Únicamente el inciso a) — avalúos con fe pública</w:t>
      </w:r>
    </w:p>
    <w:p>
      <w:pPr>
        <w:spacing w:after="30"/>
        <w:ind w:left="300"/>
      </w:pPr>
      <w:r>
        <w:rPr>
          <w:rFonts w:ascii="Calibri" w:cs="Calibri" w:eastAsia="Calibri" w:hAnsi="Calibri"/>
          <w:sz w:val="20"/>
          <w:szCs w:val="20"/>
        </w:rPr>
        <w:t xml:space="preserve">[ ] B) Los incisos b), c) y d) — sociedades mercantiles, fideicomisos y mutuos o créditos mercantiles</w:t>
      </w:r>
    </w:p>
    <w:p>
      <w:pPr>
        <w:spacing w:after="30"/>
        <w:ind w:left="300"/>
      </w:pPr>
      <w:r>
        <w:rPr>
          <w:rFonts w:ascii="Calibri" w:cs="Calibri" w:eastAsia="Calibri" w:hAnsi="Calibri"/>
          <w:sz w:val="20"/>
          <w:szCs w:val="20"/>
        </w:rPr>
        <w:t xml:space="preserve">[ ] C) Únicamente el inciso c) — fideicomisos</w:t>
      </w:r>
    </w:p>
    <w:p>
      <w:pPr>
        <w:spacing w:after="30"/>
        <w:ind w:left="300"/>
      </w:pPr>
      <w:r>
        <w:rPr>
          <w:rFonts w:ascii="Calibri" w:cs="Calibri" w:eastAsia="Calibri" w:hAnsi="Calibri"/>
          <w:sz w:val="20"/>
          <w:szCs w:val="20"/>
        </w:rPr>
        <w:t xml:space="preserve">[ ] D) Ninguno; todos los incisos tienen umbral en UMA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Pregunta 2 — UMA y umbrales (Módulo 1)</w:t>
      </w:r>
    </w:p>
    <w:p>
      <w:pPr>
        <w:spacing w:after="90"/>
      </w:pPr>
      <w:r>
        <w:rPr>
          <w:rFonts w:ascii="Calibri" w:cs="Calibri" w:eastAsia="Calibri" w:hAnsi="Calibri"/>
          <w:sz w:val="20"/>
          <w:szCs w:val="20"/>
        </w:rPr>
        <w:t xml:space="preserve">¿Desde qué monto un avalúo queda comprendido en el inciso a) del Apartado B (UMA 2026)?</w:t>
      </w:r>
    </w:p>
    <w:p>
      <w:pPr>
        <w:spacing w:after="30"/>
        <w:ind w:left="300"/>
      </w:pPr>
      <w:r>
        <w:rPr>
          <w:rFonts w:ascii="Calibri" w:cs="Calibri" w:eastAsia="Calibri" w:hAnsi="Calibri"/>
          <w:sz w:val="20"/>
          <w:szCs w:val="20"/>
        </w:rPr>
        <w:t xml:space="preserve">[ ] A) $376,565 MXN (3,210 UMA)</w:t>
      </w:r>
    </w:p>
    <w:p>
      <w:pPr>
        <w:spacing w:after="30"/>
        <w:ind w:left="300"/>
      </w:pPr>
      <w:r>
        <w:rPr>
          <w:rFonts w:ascii="Calibri" w:cs="Calibri" w:eastAsia="Calibri" w:hAnsi="Calibri"/>
          <w:sz w:val="20"/>
          <w:szCs w:val="20"/>
        </w:rPr>
        <w:t xml:space="preserve">[ ] B) $938,480 MXN (8,000 UMA)</w:t>
      </w:r>
    </w:p>
    <w:p>
      <w:pPr>
        <w:spacing w:after="30"/>
        <w:ind w:left="300"/>
      </w:pPr>
      <w:r>
        <w:rPr>
          <w:rFonts w:ascii="Calibri" w:cs="Calibri" w:eastAsia="Calibri" w:hAnsi="Calibri"/>
          <w:sz w:val="20"/>
          <w:szCs w:val="20"/>
        </w:rPr>
        <w:t xml:space="preserve">[ ] C) $941,413 MXN (8,025 UMA), siempre que el avalúo se realice con fe pública</w:t>
      </w:r>
    </w:p>
    <w:p>
      <w:pPr>
        <w:spacing w:after="30"/>
        <w:ind w:left="300"/>
      </w:pPr>
      <w:r>
        <w:rPr>
          <w:rFonts w:ascii="Calibri" w:cs="Calibri" w:eastAsia="Calibri" w:hAnsi="Calibri"/>
          <w:sz w:val="20"/>
          <w:szCs w:val="20"/>
        </w:rPr>
        <w:t xml:space="preserve">[ ] D) No existe umbral; todo avalúo se avisa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Pregunta 3 — Señales de alerta y efectivo (Módulo 2)</w:t>
      </w:r>
    </w:p>
    <w:p>
      <w:pPr>
        <w:spacing w:after="90"/>
      </w:pPr>
      <w:r>
        <w:rPr>
          <w:rFonts w:ascii="Calibri" w:cs="Calibri" w:eastAsia="Calibri" w:hAnsi="Calibri"/>
          <w:sz w:val="20"/>
          <w:szCs w:val="20"/>
        </w:rPr>
        <w:t xml:space="preserve">En una compraventa de acciones por $600,000 MXN, el comprador quiere pagar en efectivo. ¿Qué corresponde?</w:t>
      </w:r>
    </w:p>
    <w:p>
      <w:pPr>
        <w:spacing w:after="30"/>
        <w:ind w:left="300"/>
      </w:pPr>
      <w:r>
        <w:rPr>
          <w:rFonts w:ascii="Calibri" w:cs="Calibri" w:eastAsia="Calibri" w:hAnsi="Calibri"/>
          <w:sz w:val="20"/>
          <w:szCs w:val="20"/>
        </w:rPr>
        <w:t xml:space="preserve">[ ] A) Aceptarlo; el monto está por debajo de 8,025 UMA</w:t>
      </w:r>
    </w:p>
    <w:p>
      <w:pPr>
        <w:spacing w:after="30"/>
        <w:ind w:left="300"/>
      </w:pPr>
      <w:r>
        <w:rPr>
          <w:rFonts w:ascii="Calibri" w:cs="Calibri" w:eastAsia="Calibri" w:hAnsi="Calibri"/>
          <w:sz w:val="20"/>
          <w:szCs w:val="20"/>
        </w:rPr>
        <w:t xml:space="preserve">[ ] B) No puede liquidarse en efectivo: la operación supera 3,210 UMA (Art. 32, fr. VI)</w:t>
      </w:r>
    </w:p>
    <w:p>
      <w:pPr>
        <w:spacing w:after="30"/>
        <w:ind w:left="300"/>
      </w:pPr>
      <w:r>
        <w:rPr>
          <w:rFonts w:ascii="Calibri" w:cs="Calibri" w:eastAsia="Calibri" w:hAnsi="Calibri"/>
          <w:sz w:val="20"/>
          <w:szCs w:val="20"/>
        </w:rPr>
        <w:t xml:space="preserve">[ ] C) Aceptarlo siempre que se presente el Aviso</w:t>
      </w:r>
    </w:p>
    <w:p>
      <w:pPr>
        <w:spacing w:after="30"/>
        <w:ind w:left="300"/>
      </w:pPr>
      <w:r>
        <w:rPr>
          <w:rFonts w:ascii="Calibri" w:cs="Calibri" w:eastAsia="Calibri" w:hAnsi="Calibri"/>
          <w:sz w:val="20"/>
          <w:szCs w:val="20"/>
        </w:rPr>
        <w:t xml:space="preserve">[ ] D) Solo rechazarlo si el comprador es extranjero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Pregunta 4 — Beneficiario Controlador (Módulo 3)</w:t>
      </w:r>
    </w:p>
    <w:p>
      <w:pPr>
        <w:spacing w:after="90"/>
      </w:pPr>
      <w:r>
        <w:rPr>
          <w:rFonts w:ascii="Calibri" w:cs="Calibri" w:eastAsia="Calibri" w:hAnsi="Calibri"/>
          <w:sz w:val="20"/>
          <w:szCs w:val="20"/>
        </w:rPr>
        <w:t xml:space="preserve">¿En qué momento y cómo debe identificarse al beneficiario controlador de una persona moral que suscribe acciones ante el Corredor?</w:t>
      </w:r>
    </w:p>
    <w:p>
      <w:pPr>
        <w:spacing w:after="30"/>
        <w:ind w:left="300"/>
      </w:pPr>
      <w:r>
        <w:rPr>
          <w:rFonts w:ascii="Calibri" w:cs="Calibri" w:eastAsia="Calibri" w:hAnsi="Calibri"/>
          <w:sz w:val="20"/>
          <w:szCs w:val="20"/>
        </w:rPr>
        <w:t xml:space="preserve">[ ] A) Después de firmar la póliza, para no retrasar el trámite</w:t>
      </w:r>
    </w:p>
    <w:p>
      <w:pPr>
        <w:spacing w:after="30"/>
        <w:ind w:left="300"/>
      </w:pPr>
      <w:r>
        <w:rPr>
          <w:rFonts w:ascii="Calibri" w:cs="Calibri" w:eastAsia="Calibri" w:hAnsi="Calibri"/>
          <w:sz w:val="20"/>
          <w:szCs w:val="20"/>
        </w:rPr>
        <w:t xml:space="preserve">[ ] B) Solo si el apoderado que comparece lo solicita expresamente</w:t>
      </w:r>
    </w:p>
    <w:p>
      <w:pPr>
        <w:spacing w:after="30"/>
        <w:ind w:left="300"/>
      </w:pPr>
      <w:r>
        <w:rPr>
          <w:rFonts w:ascii="Calibri" w:cs="Calibri" w:eastAsia="Calibri" w:hAnsi="Calibri"/>
          <w:sz w:val="20"/>
          <w:szCs w:val="20"/>
        </w:rPr>
        <w:t xml:space="preserve">[ ] C) ANTES de formalizar el acto, conforme al orden de prelación del Art. 23 Quinquies RCG (25% o más del capital; control por otros medios; funcionario de mayor grado)</w:t>
      </w:r>
    </w:p>
    <w:p>
      <w:pPr>
        <w:spacing w:after="30"/>
        <w:ind w:left="300"/>
      </w:pPr>
      <w:r>
        <w:rPr>
          <w:rFonts w:ascii="Calibri" w:cs="Calibri" w:eastAsia="Calibri" w:hAnsi="Calibri"/>
          <w:sz w:val="20"/>
          <w:szCs w:val="20"/>
        </w:rPr>
        <w:t xml:space="preserve">[ ] D) Nunca, si la sociedad ya tiene RFC vigente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Pregunta 5 — Avalúos y acumulación (Módulo 5)</w:t>
      </w:r>
    </w:p>
    <w:p>
      <w:pPr>
        <w:spacing w:after="90"/>
      </w:pPr>
      <w:r>
        <w:rPr>
          <w:rFonts w:ascii="Calibri" w:cs="Calibri" w:eastAsia="Calibri" w:hAnsi="Calibri"/>
          <w:sz w:val="20"/>
          <w:szCs w:val="20"/>
        </w:rPr>
        <w:t xml:space="preserve">Un mismo cliente solicita en enero y en abril dos avalúos con fe pública, de $600,000 MXN cada uno, sobre bienes distintos y sin relación entre sí. ¿Corresponde Aviso por acumulación?</w:t>
      </w:r>
    </w:p>
    <w:p>
      <w:pPr>
        <w:spacing w:after="30"/>
        <w:ind w:left="300"/>
      </w:pPr>
      <w:r>
        <w:rPr>
          <w:rFonts w:ascii="Calibri" w:cs="Calibri" w:eastAsia="Calibri" w:hAnsi="Calibri"/>
          <w:sz w:val="20"/>
          <w:szCs w:val="20"/>
        </w:rPr>
        <w:t xml:space="preserve">[ ] A) Sí; la suma supera 8,025 UMA dentro de seis meses</w:t>
      </w:r>
    </w:p>
    <w:p>
      <w:pPr>
        <w:spacing w:after="30"/>
        <w:ind w:left="300"/>
      </w:pPr>
      <w:r>
        <w:rPr>
          <w:rFonts w:ascii="Calibri" w:cs="Calibri" w:eastAsia="Calibri" w:hAnsi="Calibri"/>
          <w:sz w:val="20"/>
          <w:szCs w:val="20"/>
        </w:rPr>
        <w:t xml:space="preserve">[ ] B) No: el Art. 19 RCG excluye los incisos del Apartado B de la acumulación; cada avalúo se evalúa por separado, sin perjuicio del Aviso por sospecha si hay fraccionamiento artificial</w:t>
      </w:r>
    </w:p>
    <w:p>
      <w:pPr>
        <w:spacing w:after="30"/>
        <w:ind w:left="300"/>
      </w:pPr>
      <w:r>
        <w:rPr>
          <w:rFonts w:ascii="Calibri" w:cs="Calibri" w:eastAsia="Calibri" w:hAnsi="Calibri"/>
          <w:sz w:val="20"/>
          <w:szCs w:val="20"/>
        </w:rPr>
        <w:t xml:space="preserve">[ ] C) Solo si el cliente es PEP</w:t>
      </w:r>
    </w:p>
    <w:p>
      <w:pPr>
        <w:spacing w:after="30"/>
        <w:ind w:left="300"/>
      </w:pPr>
      <w:r>
        <w:rPr>
          <w:rFonts w:ascii="Calibri" w:cs="Calibri" w:eastAsia="Calibri" w:hAnsi="Calibri"/>
          <w:sz w:val="20"/>
          <w:szCs w:val="20"/>
        </w:rPr>
        <w:t xml:space="preserve">[ ] D) Sí, siempre que sean del mismo cliente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Pregunta 6 — PEP's (Módulo 4)</w:t>
      </w:r>
    </w:p>
    <w:p>
      <w:pPr>
        <w:spacing w:after="90"/>
      </w:pPr>
      <w:r>
        <w:rPr>
          <w:rFonts w:ascii="Calibri" w:cs="Calibri" w:eastAsia="Calibri" w:hAnsi="Calibri"/>
          <w:sz w:val="20"/>
          <w:szCs w:val="20"/>
        </w:rPr>
        <w:t xml:space="preserve">Una Directora de Obras Públicas municipal comparece a VENDER sus acciones de una sociedad anónima. ¿Aplica el procedimiento de PEP's?</w:t>
      </w:r>
    </w:p>
    <w:p>
      <w:pPr>
        <w:spacing w:after="30"/>
        <w:ind w:left="300"/>
      </w:pPr>
      <w:r>
        <w:rPr>
          <w:rFonts w:ascii="Calibri" w:cs="Calibri" w:eastAsia="Calibri" w:hAnsi="Calibri"/>
          <w:sz w:val="20"/>
          <w:szCs w:val="20"/>
        </w:rPr>
        <w:t xml:space="preserve">[ ] A) No, porque solo aplica a quien compra</w:t>
      </w:r>
    </w:p>
    <w:p>
      <w:pPr>
        <w:spacing w:after="30"/>
        <w:ind w:left="300"/>
      </w:pPr>
      <w:r>
        <w:rPr>
          <w:rFonts w:ascii="Calibri" w:cs="Calibri" w:eastAsia="Calibri" w:hAnsi="Calibri"/>
          <w:sz w:val="20"/>
          <w:szCs w:val="20"/>
        </w:rPr>
        <w:t xml:space="preserve">[ ] B) Sí — la calidad de PEP se evalúa respecto de la persona, sin importar si compra o vende</w:t>
      </w:r>
    </w:p>
    <w:p>
      <w:pPr>
        <w:spacing w:after="30"/>
        <w:ind w:left="300"/>
      </w:pPr>
      <w:r>
        <w:rPr>
          <w:rFonts w:ascii="Calibri" w:cs="Calibri" w:eastAsia="Calibri" w:hAnsi="Calibri"/>
          <w:sz w:val="20"/>
          <w:szCs w:val="20"/>
        </w:rPr>
        <w:t xml:space="preserve">[ ] C) Solo si el precio supera $10,000,000 MXN</w:t>
      </w:r>
    </w:p>
    <w:p>
      <w:pPr>
        <w:spacing w:after="30"/>
        <w:ind w:left="300"/>
      </w:pPr>
      <w:r>
        <w:rPr>
          <w:rFonts w:ascii="Calibri" w:cs="Calibri" w:eastAsia="Calibri" w:hAnsi="Calibri"/>
          <w:sz w:val="20"/>
          <w:szCs w:val="20"/>
        </w:rPr>
        <w:t xml:space="preserve">[ ] D) No, porque los cargos municipales no califican como PEP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Pregunta 7 — Créditos mercantiles (Módulo 5)</w:t>
      </w:r>
    </w:p>
    <w:p>
      <w:pPr>
        <w:spacing w:after="90"/>
      </w:pPr>
      <w:r>
        <w:rPr>
          <w:rFonts w:ascii="Calibri" w:cs="Calibri" w:eastAsia="Calibri" w:hAnsi="Calibri"/>
          <w:sz w:val="20"/>
          <w:szCs w:val="20"/>
        </w:rPr>
        <w:t xml:space="preserve">Un crédito mercantil sin garantía entre dos sociedades sin vínculo aparente, por $2,000,000 MXN. ¿Qué corresponde?</w:t>
      </w:r>
    </w:p>
    <w:p>
      <w:pPr>
        <w:spacing w:after="30"/>
        <w:ind w:left="300"/>
      </w:pPr>
      <w:r>
        <w:rPr>
          <w:rFonts w:ascii="Calibri" w:cs="Calibri" w:eastAsia="Calibri" w:hAnsi="Calibri"/>
          <w:sz w:val="20"/>
          <w:szCs w:val="20"/>
        </w:rPr>
        <w:t xml:space="preserve">[ ] A) No se presenta Aviso porque es un acto privado entre particulares</w:t>
      </w:r>
    </w:p>
    <w:p>
      <w:pPr>
        <w:spacing w:after="30"/>
        <w:ind w:left="300"/>
      </w:pPr>
      <w:r>
        <w:rPr>
          <w:rFonts w:ascii="Calibri" w:cs="Calibri" w:eastAsia="Calibri" w:hAnsi="Calibri"/>
          <w:sz w:val="20"/>
          <w:szCs w:val="20"/>
        </w:rPr>
        <w:t xml:space="preserve">[ ] B) Se presenta Aviso SOLO si el monto supera 8,025 UMA</w:t>
      </w:r>
    </w:p>
    <w:p>
      <w:pPr>
        <w:spacing w:after="30"/>
        <w:ind w:left="300"/>
      </w:pPr>
      <w:r>
        <w:rPr>
          <w:rFonts w:ascii="Calibri" w:cs="Calibri" w:eastAsia="Calibri" w:hAnsi="Calibri"/>
          <w:sz w:val="20"/>
          <w:szCs w:val="20"/>
        </w:rPr>
        <w:t xml:space="preserve">[ ] C) Se presenta Aviso SIEMPRE (inciso d), y el caso amerita evaluarse como riesgo alto conforme al D6-COR</w:t>
      </w:r>
    </w:p>
    <w:p>
      <w:pPr>
        <w:spacing w:after="30"/>
        <w:ind w:left="300"/>
      </w:pPr>
      <w:r>
        <w:rPr>
          <w:rFonts w:ascii="Calibri" w:cs="Calibri" w:eastAsia="Calibri" w:hAnsi="Calibri"/>
          <w:sz w:val="20"/>
          <w:szCs w:val="20"/>
        </w:rPr>
        <w:t xml:space="preserve">[ ] D) Se presenta Aviso solo si una de las partes es persona física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Pregunta 8 — Avisos (Módulo 6)</w:t>
      </w:r>
    </w:p>
    <w:p>
      <w:pPr>
        <w:spacing w:after="90"/>
      </w:pPr>
      <w:r>
        <w:rPr>
          <w:rFonts w:ascii="Calibri" w:cs="Calibri" w:eastAsia="Calibri" w:hAnsi="Calibri"/>
          <w:sz w:val="20"/>
          <w:szCs w:val="20"/>
        </w:rPr>
        <w:t xml:space="preserve">Si el Corredor detecta una señal de sospecha durante la integración de un expediente, ¿en qué plazo debe presentar el Aviso correspondiente?</w:t>
      </w:r>
    </w:p>
    <w:p>
      <w:pPr>
        <w:spacing w:after="30"/>
        <w:ind w:left="300"/>
      </w:pPr>
      <w:r>
        <w:rPr>
          <w:rFonts w:ascii="Calibri" w:cs="Calibri" w:eastAsia="Calibri" w:hAnsi="Calibri"/>
          <w:sz w:val="20"/>
          <w:szCs w:val="20"/>
        </w:rPr>
        <w:t xml:space="preserve">[ ] A) Dentro del mes en curso, junto con los demás Avisos</w:t>
      </w:r>
    </w:p>
    <w:p>
      <w:pPr>
        <w:spacing w:after="30"/>
        <w:ind w:left="300"/>
      </w:pPr>
      <w:r>
        <w:rPr>
          <w:rFonts w:ascii="Calibri" w:cs="Calibri" w:eastAsia="Calibri" w:hAnsi="Calibri"/>
          <w:sz w:val="20"/>
          <w:szCs w:val="20"/>
        </w:rPr>
        <w:t xml:space="preserve">[ ] B) Dentro de las 24 horas siguientes, incluso si el acto no llegó a formalizarse</w:t>
      </w:r>
    </w:p>
    <w:p>
      <w:pPr>
        <w:spacing w:after="30"/>
        <w:ind w:left="300"/>
      </w:pPr>
      <w:r>
        <w:rPr>
          <w:rFonts w:ascii="Calibri" w:cs="Calibri" w:eastAsia="Calibri" w:hAnsi="Calibri"/>
          <w:sz w:val="20"/>
          <w:szCs w:val="20"/>
        </w:rPr>
        <w:t xml:space="preserve">[ ] C) No hay plazo específico; se presenta cuando sea conveniente</w:t>
      </w:r>
    </w:p>
    <w:p>
      <w:pPr>
        <w:spacing w:after="30"/>
        <w:ind w:left="300"/>
      </w:pPr>
      <w:r>
        <w:rPr>
          <w:rFonts w:ascii="Calibri" w:cs="Calibri" w:eastAsia="Calibri" w:hAnsi="Calibri"/>
          <w:sz w:val="20"/>
          <w:szCs w:val="20"/>
        </w:rPr>
        <w:t xml:space="preserve">[ ] D) Solo si el acto se formalizó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Pregunta 9 — Sanciones y régimen dual (Módulos 1 y 6)</w:t>
      </w:r>
    </w:p>
    <w:p>
      <w:pPr>
        <w:spacing w:after="90"/>
      </w:pPr>
      <w:r>
        <w:rPr>
          <w:rFonts w:ascii="Calibri" w:cs="Calibri" w:eastAsia="Calibri" w:hAnsi="Calibri"/>
          <w:sz w:val="20"/>
          <w:szCs w:val="20"/>
        </w:rPr>
        <w:t xml:space="preserve">¿Qué ocurre si la Secretaría determina "notorias deficiencias" en el cumplimiento de un corredor público?</w:t>
      </w:r>
    </w:p>
    <w:p>
      <w:pPr>
        <w:spacing w:after="30"/>
        <w:ind w:left="300"/>
      </w:pPr>
      <w:r>
        <w:rPr>
          <w:rFonts w:ascii="Calibri" w:cs="Calibri" w:eastAsia="Calibri" w:hAnsi="Calibri"/>
          <w:sz w:val="20"/>
          <w:szCs w:val="20"/>
        </w:rPr>
        <w:t xml:space="preserve">[ ] A) Nada distinto; el régimen es idéntico al de cualquier empresa</w:t>
      </w:r>
    </w:p>
    <w:p>
      <w:pPr>
        <w:spacing w:after="30"/>
        <w:ind w:left="300"/>
      </w:pPr>
      <w:r>
        <w:rPr>
          <w:rFonts w:ascii="Calibri" w:cs="Calibri" w:eastAsia="Calibri" w:hAnsi="Calibri"/>
          <w:sz w:val="20"/>
          <w:szCs w:val="20"/>
        </w:rPr>
        <w:t xml:space="preserve">[ ] B) El corredor no puede ser sancionado por la LFPIORPI</w:t>
      </w:r>
    </w:p>
    <w:p>
      <w:pPr>
        <w:spacing w:after="30"/>
        <w:ind w:left="300"/>
      </w:pPr>
      <w:r>
        <w:rPr>
          <w:rFonts w:ascii="Calibri" w:cs="Calibri" w:eastAsia="Calibri" w:hAnsi="Calibri"/>
          <w:sz w:val="20"/>
          <w:szCs w:val="20"/>
        </w:rPr>
        <w:t xml:space="preserve">[ ] C) La Secretaría informa a la Secretaría de Economía, autoridad que supervisa la fe pública del corredor, para que instaure su propio procedimiento (Art. 58)</w:t>
      </w:r>
    </w:p>
    <w:p>
      <w:pPr>
        <w:spacing w:after="30"/>
        <w:ind w:left="300"/>
      </w:pPr>
      <w:r>
        <w:rPr>
          <w:rFonts w:ascii="Calibri" w:cs="Calibri" w:eastAsia="Calibri" w:hAnsi="Calibri"/>
          <w:sz w:val="20"/>
          <w:szCs w:val="20"/>
        </w:rPr>
        <w:t xml:space="preserve">[ ] D) La Secretaría de Economía sustituye al SAT en la imposición de las multas de la LFPIORPI</w:t>
      </w:r>
    </w:p>
    <w:p>
      <w:pPr>
        <w:pBdr>
          <w:bottom w:val="single" w:color="B08D57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0A1628"/>
          <w:sz w:val="21"/>
          <w:szCs w:val="21"/>
        </w:rPr>
        <w:t xml:space="preserve">Pregunta abierta (2 pts)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Pregunta 10 — Responsabilidad personal (Módulo 1)</w:t>
      </w:r>
    </w:p>
    <w:p>
      <w:pPr>
        <w:spacing w:after="90"/>
      </w:pPr>
      <w:r>
        <w:rPr>
          <w:rFonts w:ascii="Calibri" w:cs="Calibri" w:eastAsia="Calibri" w:hAnsi="Calibri"/>
          <w:sz w:val="20"/>
          <w:szCs w:val="20"/>
        </w:rPr>
        <w:t xml:space="preserve">Explique, en sus propias palabras, por qué el Corredor Público Titular no designa un "Representante de Cumplimiento" registrable ante el SAT en los mismos términos que una persona moral, y qué papel juega entonces el Encargado Operativo interno mencionado en el D2-COR.</w:t>
      </w:r>
    </w:p>
    <w:p>
      <w:pPr>
        <w:spacing w:after="9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Respuesta:</w:t>
      </w:r>
    </w:p>
    <w:p>
      <w:pPr>
        <w:spacing w:after="90"/>
      </w:pPr>
      <w:r>
        <w:rPr>
          <w:rFonts w:ascii="Calibri" w:cs="Calibri" w:eastAsia="Calibri" w:hAnsi="Calibri"/>
          <w:sz w:val="20"/>
          <w:szCs w:val="20"/>
        </w:rPr>
        <w:t xml:space="preserve">_______________________________________________________________________</w:t>
      </w:r>
    </w:p>
    <w:p>
      <w:pPr>
        <w:spacing w:after="90"/>
      </w:pPr>
      <w:r>
        <w:rPr>
          <w:rFonts w:ascii="Calibri" w:cs="Calibri" w:eastAsia="Calibri" w:hAnsi="Calibri"/>
          <w:sz w:val="20"/>
          <w:szCs w:val="20"/>
        </w:rPr>
        <w:t xml:space="preserve">_______________________________________________________________________</w:t>
      </w:r>
    </w:p>
    <w:p>
      <w:pPr>
        <w:spacing w:after="90"/>
      </w:pPr>
      <w:r>
        <w:rPr>
          <w:rFonts w:ascii="Calibri" w:cs="Calibri" w:eastAsia="Calibri" w:hAnsi="Calibri"/>
          <w:sz w:val="20"/>
          <w:szCs w:val="20"/>
        </w:rPr>
        <w:t xml:space="preserve">_______________________________________________________________________</w:t>
      </w:r>
    </w:p>
    <w:p/>
    <w:p>
      <w:pPr>
        <w:pBdr>
          <w:top w:val="single" w:color="B08D57" w:sz="4" w:space="4"/>
        </w:pBdr>
        <w:spacing w:before="200"/>
      </w:pPr>
      <w:r>
        <w:rPr>
          <w:rFonts w:ascii="Calibri" w:cs="Calibri" w:eastAsia="Calibri" w:hAnsi="Calibri"/>
          <w:color w:val="808080"/>
          <w:sz w:val="16"/>
          <w:szCs w:val="16"/>
        </w:rPr>
        <w:t xml:space="preserve">CERTUS CONSULTORES  |  Certus PLD  |  Mérida, Yucatán  |  999 163 1363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2026-09-09T01:43:47.330Z</dcterms:created>
  <dcterms:modified xsi:type="dcterms:W3CDTF">2026-09-09T01:43:47.330Z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