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386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CERTUS PLD</w:t>
            </w:r>
            <w:r>
              <w:rPr>
                <w:rFonts w:ascii="Calibri" w:cs="Calibri" w:eastAsia="Calibri" w:hAnsi="Calibri"/>
                <w:color w:val="B08D57"/>
                <w:sz w:val="22"/>
                <w:szCs w:val="22"/>
              </w:rPr>
              <w:t xml:space="preserve">   |   </w:t>
            </w:r>
            <w:r>
              <w:rPr>
                <w:rFonts w:ascii="Calibri" w:cs="Calibri" w:eastAsia="Calibri" w:hAnsi="Calibri"/>
                <w:b/>
                <w:bCs/>
                <w:color w:val="B08D57"/>
                <w:sz w:val="22"/>
                <w:szCs w:val="22"/>
              </w:rPr>
              <w:t xml:space="preserve">D4-COR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Gap Analysis PLD/FT — Matriz de Brecha (Corredurías Públicas)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D9D9D9"/>
                <w:sz w:val="18"/>
                <w:szCs w:val="18"/>
              </w:rPr>
              <w:t xml:space="preserve">Correduría: [Denominación de la Correduría]   │   Variante: Correduría Pública — Fracción XII, Apartado B LFPIORPI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shd w:fill="EDED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Correduría:</w:t>
            </w:r>
          </w:p>
        </w:tc>
        <w:tc>
          <w:tcPr>
            <w:tcW w:type="dxa" w:w="6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[Denominación de la Correduría]</w:t>
            </w:r>
          </w:p>
        </w:tc>
      </w:tr>
      <w:tr>
        <w:tc>
          <w:tcPr>
            <w:tcW w:type="dxa" w:w="3200"/>
            <w:shd w:fill="EDED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Fecha de diagnóstico:</w:t>
            </w:r>
          </w:p>
        </w:tc>
        <w:tc>
          <w:tcPr>
            <w:tcW w:type="dxa" w:w="6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[Fecha]</w:t>
            </w:r>
          </w:p>
        </w:tc>
      </w:tr>
      <w:tr>
        <w:tc>
          <w:tcPr>
            <w:tcW w:type="dxa" w:w="3200"/>
            <w:shd w:fill="EDED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Evaluador:</w:t>
            </w:r>
          </w:p>
        </w:tc>
        <w:tc>
          <w:tcPr>
            <w:tcW w:type="dxa" w:w="6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CERTUS CONSULTORES │ Certus PLD</w:t>
            </w:r>
          </w:p>
        </w:tc>
      </w:tr>
      <w:tr>
        <w:tc>
          <w:tcPr>
            <w:tcW w:type="dxa" w:w="3200"/>
            <w:shd w:fill="EDED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Correo:</w:t>
            </w:r>
          </w:p>
        </w:tc>
        <w:tc>
          <w:tcPr>
            <w:tcW w:type="dxa" w:w="6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contacto@certusconsultores.com.mx │ Tel. 999 163 1363</w:t>
            </w:r>
          </w:p>
        </w:tc>
      </w:tr>
      <w:tr>
        <w:tc>
          <w:tcPr>
            <w:tcW w:type="dxa" w:w="3200"/>
            <w:shd w:fill="EDED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Versión:</w:t>
            </w:r>
          </w:p>
        </w:tc>
        <w:tc>
          <w:tcPr>
            <w:tcW w:type="dxa" w:w="6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1.0 — Diagnóstico inicial</w:t>
            </w:r>
          </w:p>
        </w:tc>
      </w:tr>
    </w:tbl>
    <w:p/>
    <w:p>
      <w:pPr>
        <w:pBdr>
          <w:bottom w:val="single" w:color="B08D57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I. Instrucciones de uso</w:t>
      </w:r>
    </w:p>
    <w:p>
      <w:pPr>
        <w:spacing w:after="110"/>
      </w:pPr>
      <w:r>
        <w:rPr>
          <w:rFonts w:ascii="Calibri" w:cs="Calibri" w:eastAsia="Calibri" w:hAnsi="Calibri"/>
          <w:sz w:val="20"/>
          <w:szCs w:val="20"/>
        </w:rPr>
        <w:t xml:space="preserve">Esta matriz evalúa 15 rubros de cumplimiento PLD/FT aplicables a corredores públicos bajo la Fracción XII, Apartado B, del artículo 17. Para cada rubro se indica: el estatus actual (Cumple / Parcial / No Cumple), el nivel de riesgo (VERDE / AMARILLO / ROJO), la multa máxima estimada y las acciones correctivas recomendadas. Marcar con X el estatus correspondiente.</w:t>
      </w:r>
    </w:p>
    <w:p>
      <w:pPr>
        <w:pBdr>
          <w:bottom w:val="single" w:color="B08D57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II. Matriz de brecha — 15 rubros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2600"/>
        <w:gridCol w:w="1400"/>
        <w:gridCol w:w="1500"/>
        <w:gridCol w:w="1430"/>
        <w:gridCol w:w="2000"/>
      </w:tblGrid>
      <w:tr>
        <w:trPr>
          <w:tblHeader/>
        </w:trPr>
        <w:tc>
          <w:tcPr>
            <w:tcW w:type="dxa" w:w="42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No.</w:t>
            </w:r>
          </w:p>
        </w:tc>
        <w:tc>
          <w:tcPr>
            <w:tcW w:type="dxa" w:w="26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Rubro de Cumplimiento</w:t>
            </w:r>
          </w:p>
        </w:tc>
        <w:tc>
          <w:tcPr>
            <w:tcW w:type="dxa" w:w="14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Ref. Legal</w:t>
            </w:r>
          </w:p>
        </w:tc>
        <w:tc>
          <w:tcPr>
            <w:tcW w:type="dxa" w:w="15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Estatus</w:t>
            </w:r>
          </w:p>
        </w:tc>
        <w:tc>
          <w:tcPr>
            <w:tcW w:type="dxa" w:w="143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Semáf.</w:t>
            </w:r>
          </w:p>
        </w:tc>
        <w:tc>
          <w:tcPr>
            <w:tcW w:type="dxa" w:w="20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Multa Est.</w:t>
            </w:r>
          </w:p>
        </w:tc>
      </w:tr>
      <w:tr>
        <w:tc>
          <w:tcPr>
            <w:tcW w:type="dxa" w:w="4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Alta y registro personal en el Padrón (SPPLD) — D3-COR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Art. 18-IV Bis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 ] C  [ ] P  [ ] N</w:t>
            </w:r>
          </w:p>
        </w:tc>
        <w:tc>
          <w:tcPr>
            <w:tcW w:type="dxa" w:w="143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 ]V [ ]A [ ]R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$234,620</w:t>
            </w:r>
          </w:p>
        </w:tc>
      </w:tr>
      <w:tr>
        <w:tc>
          <w:tcPr>
            <w:tcW w:type="dxa" w:w="42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Constancia de Asunción Personal de obligaciones — D2-COR</w:t>
            </w:r>
          </w:p>
        </w:tc>
        <w:tc>
          <w:tcPr>
            <w:tcW w:type="dxa" w:w="140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Art. 20</w:t>
            </w:r>
          </w:p>
        </w:tc>
        <w:tc>
          <w:tcPr>
            <w:tcW w:type="dxa" w:w="150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 ] C  [ ] P  [ ] N</w:t>
            </w:r>
          </w:p>
        </w:tc>
        <w:tc>
          <w:tcPr>
            <w:tcW w:type="dxa" w:w="143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 ]V [ ]A [ ]R</w:t>
            </w:r>
          </w:p>
        </w:tc>
        <w:tc>
          <w:tcPr>
            <w:tcW w:type="dxa" w:w="200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Base para todo lo demás</w:t>
            </w:r>
          </w:p>
        </w:tc>
      </w:tr>
      <w:tr>
        <w:tc>
          <w:tcPr>
            <w:tcW w:type="dxa" w:w="4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Manual de Políticas Internas — D5-COR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Art. 18-VIII; Art. 37 RCG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 ] C  [ ] P  [ ] N</w:t>
            </w:r>
          </w:p>
        </w:tc>
        <w:tc>
          <w:tcPr>
            <w:tcW w:type="dxa" w:w="143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 ]V [ ]A [ ]R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$234,620</w:t>
            </w:r>
          </w:p>
        </w:tc>
      </w:tr>
      <w:tr>
        <w:tc>
          <w:tcPr>
            <w:tcW w:type="dxa" w:w="42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260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Expedientes KYC de clientes por acto — D7-COR</w:t>
            </w:r>
          </w:p>
        </w:tc>
        <w:tc>
          <w:tcPr>
            <w:tcW w:type="dxa" w:w="140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Art. 18-I a III</w:t>
            </w:r>
          </w:p>
        </w:tc>
        <w:tc>
          <w:tcPr>
            <w:tcW w:type="dxa" w:w="150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 ] C  [ ] P  [ ] N</w:t>
            </w:r>
          </w:p>
        </w:tc>
        <w:tc>
          <w:tcPr>
            <w:tcW w:type="dxa" w:w="143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 ]V [ ]A [ ]R</w:t>
            </w:r>
          </w:p>
        </w:tc>
        <w:tc>
          <w:tcPr>
            <w:tcW w:type="dxa" w:w="200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$234,620</w:t>
            </w:r>
          </w:p>
        </w:tc>
      </w:tr>
      <w:tr>
        <w:tc>
          <w:tcPr>
            <w:tcW w:type="dxa" w:w="4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Metodología EBR implementada — D6-COR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Art. 18-VII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 ] C  [ ] P  [ ] N</w:t>
            </w:r>
          </w:p>
        </w:tc>
        <w:tc>
          <w:tcPr>
            <w:tcW w:type="dxa" w:w="143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 ]V [ ]A [ ]R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$234,620</w:t>
            </w:r>
          </w:p>
        </w:tc>
      </w:tr>
      <w:tr>
        <w:tc>
          <w:tcPr>
            <w:tcW w:type="dxa" w:w="42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260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Beneficiario Controlador y solicitante material de la formalización — D7-COR Secc. A.3 y E</w:t>
            </w:r>
          </w:p>
        </w:tc>
        <w:tc>
          <w:tcPr>
            <w:tcW w:type="dxa" w:w="140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Art. 18-III; Arts. 13 y 23 Quinquies RCG</w:t>
            </w:r>
          </w:p>
        </w:tc>
        <w:tc>
          <w:tcPr>
            <w:tcW w:type="dxa" w:w="150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 ] C  [ ] P  [ ] N</w:t>
            </w:r>
          </w:p>
        </w:tc>
        <w:tc>
          <w:tcPr>
            <w:tcW w:type="dxa" w:w="143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 ]V [ ]A [ ]R</w:t>
            </w:r>
          </w:p>
        </w:tc>
        <w:tc>
          <w:tcPr>
            <w:tcW w:type="dxa" w:w="200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$234,620</w:t>
            </w:r>
          </w:p>
        </w:tc>
      </w:tr>
      <w:tr>
        <w:tc>
          <w:tcPr>
            <w:tcW w:type="dxa" w:w="4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Política de PEP's documentada — D8-COR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Art. 18-VIII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 ] C  [ ] P  [ ] N</w:t>
            </w:r>
          </w:p>
        </w:tc>
        <w:tc>
          <w:tcPr>
            <w:tcW w:type="dxa" w:w="143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 ]V [ ]A [ ]R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$234,620</w:t>
            </w:r>
          </w:p>
        </w:tc>
      </w:tr>
      <w:tr>
        <w:tc>
          <w:tcPr>
            <w:tcW w:type="dxa" w:w="42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260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Avisos sin umbral presentados (incisos b, c, d — todo acto)</w:t>
            </w:r>
          </w:p>
        </w:tc>
        <w:tc>
          <w:tcPr>
            <w:tcW w:type="dxa" w:w="140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Art. 17 Fracc. XII-B; Art. 23</w:t>
            </w:r>
          </w:p>
        </w:tc>
        <w:tc>
          <w:tcPr>
            <w:tcW w:type="dxa" w:w="150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 ] C  [ ] P  [ ] N</w:t>
            </w:r>
          </w:p>
        </w:tc>
        <w:tc>
          <w:tcPr>
            <w:tcW w:type="dxa" w:w="143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 ]V [ ]A [ ]R</w:t>
            </w:r>
          </w:p>
        </w:tc>
        <w:tc>
          <w:tcPr>
            <w:tcW w:type="dxa" w:w="200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$7,625,150 o 10%–100% del valor del acto</w:t>
            </w:r>
          </w:p>
        </w:tc>
      </w:tr>
      <w:tr>
        <w:tc>
          <w:tcPr>
            <w:tcW w:type="dxa" w:w="4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Avisos de avalúos con fe pública de 8,025 UMA o más (inciso a)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Art. 17 Fracc. XII-B a); Reglamento art. 29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 ] C  [ ] P  [ ] N</w:t>
            </w:r>
          </w:p>
        </w:tc>
        <w:tc>
          <w:tcPr>
            <w:tcW w:type="dxa" w:w="143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 ]V [ ]A [ ]R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$7,625,150 o 10%–100% del valor del acto</w:t>
            </w:r>
          </w:p>
        </w:tc>
      </w:tr>
      <w:tr>
        <w:tc>
          <w:tcPr>
            <w:tcW w:type="dxa" w:w="42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260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Control mensual de Avisos e informes en ceros — D12-COR</w:t>
            </w:r>
          </w:p>
        </w:tc>
        <w:tc>
          <w:tcPr>
            <w:tcW w:type="dxa" w:w="140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Art. 23; Art. 25 RCG</w:t>
            </w:r>
          </w:p>
        </w:tc>
        <w:tc>
          <w:tcPr>
            <w:tcW w:type="dxa" w:w="150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 ] C  [ ] P  [ ] N</w:t>
            </w:r>
          </w:p>
        </w:tc>
        <w:tc>
          <w:tcPr>
            <w:tcW w:type="dxa" w:w="143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 ]V [ ]A [ ]R</w:t>
            </w:r>
          </w:p>
        </w:tc>
        <w:tc>
          <w:tcPr>
            <w:tcW w:type="dxa" w:w="200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$234,620</w:t>
            </w:r>
          </w:p>
        </w:tc>
      </w:tr>
      <w:tr>
        <w:tc>
          <w:tcPr>
            <w:tcW w:type="dxa" w:w="4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Capacitación anual y selección de personal — D11-COR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Art. 18-IX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 ] C  [ ] P  [ ] N</w:t>
            </w:r>
          </w:p>
        </w:tc>
        <w:tc>
          <w:tcPr>
            <w:tcW w:type="dxa" w:w="143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 ]V [ ]A [ ]R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$234,620</w:t>
            </w:r>
          </w:p>
        </w:tc>
      </w:tr>
      <w:tr>
        <w:tc>
          <w:tcPr>
            <w:tcW w:type="dxa" w:w="42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260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Política de resguardo documental 10 años — D10-COR</w:t>
            </w:r>
          </w:p>
        </w:tc>
        <w:tc>
          <w:tcPr>
            <w:tcW w:type="dxa" w:w="140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Art. 18-IV</w:t>
            </w:r>
          </w:p>
        </w:tc>
        <w:tc>
          <w:tcPr>
            <w:tcW w:type="dxa" w:w="150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 ] C  [ ] P  [ ] N</w:t>
            </w:r>
          </w:p>
        </w:tc>
        <w:tc>
          <w:tcPr>
            <w:tcW w:type="dxa" w:w="143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 ]V [ ]A [ ]R</w:t>
            </w:r>
          </w:p>
        </w:tc>
        <w:tc>
          <w:tcPr>
            <w:tcW w:type="dxa" w:w="200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$234,620</w:t>
            </w:r>
          </w:p>
        </w:tc>
      </w:tr>
      <w:tr>
        <w:tc>
          <w:tcPr>
            <w:tcW w:type="dxa" w:w="4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Mecanismos automatizados de monitoreo (exigibles al 1-jun-2027)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Art. 18-X; Art. 41 RCG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 ] C  [ ] P  [ ] N</w:t>
            </w:r>
          </w:p>
        </w:tc>
        <w:tc>
          <w:tcPr>
            <w:tcW w:type="dxa" w:w="143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 ]V [ ]A [ ]R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$234,620</w:t>
            </w:r>
          </w:p>
        </w:tc>
      </w:tr>
      <w:tr>
        <w:tc>
          <w:tcPr>
            <w:tcW w:type="dxa" w:w="42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  <w:tc>
          <w:tcPr>
            <w:tcW w:type="dxa" w:w="260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Auditoría anual del programa (primer periodo 2028) — D13-COR</w:t>
            </w:r>
          </w:p>
        </w:tc>
        <w:tc>
          <w:tcPr>
            <w:tcW w:type="dxa" w:w="140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Art. 18-XI</w:t>
            </w:r>
          </w:p>
        </w:tc>
        <w:tc>
          <w:tcPr>
            <w:tcW w:type="dxa" w:w="150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 ] C  [ ] P  [ ] N</w:t>
            </w:r>
          </w:p>
        </w:tc>
        <w:tc>
          <w:tcPr>
            <w:tcW w:type="dxa" w:w="143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 ]V [ ]A [ ]R</w:t>
            </w:r>
          </w:p>
        </w:tc>
        <w:tc>
          <w:tcPr>
            <w:tcW w:type="dxa" w:w="200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$234,620</w:t>
            </w:r>
          </w:p>
        </w:tc>
      </w:tr>
      <w:tr>
        <w:tc>
          <w:tcPr>
            <w:tcW w:type="dxa" w:w="42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260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Efectivo y forma de pago en pólizas (acciones y partes sociales desde 3,210 UMA; forma de pago desde 8,025 UMA)</w:t>
            </w:r>
          </w:p>
        </w:tc>
        <w:tc>
          <w:tcPr>
            <w:tcW w:type="dxa" w:w="140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Arts. 32 fr. VI y 33</w:t>
            </w:r>
          </w:p>
        </w:tc>
        <w:tc>
          <w:tcPr>
            <w:tcW w:type="dxa" w:w="150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 ] C  [ ] P  [ ] N</w:t>
            </w:r>
          </w:p>
        </w:tc>
        <w:tc>
          <w:tcPr>
            <w:tcW w:type="dxa" w:w="143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 ]V [ ]A [ ]R</w:t>
            </w:r>
          </w:p>
        </w:tc>
        <w:tc>
          <w:tcPr>
            <w:tcW w:type="dxa" w:w="200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$7,625,150 (Art. 32) / $1,173,100 (Art. 33)</w:t>
            </w:r>
          </w:p>
        </w:tc>
      </w:tr>
    </w:tbl>
    <w:p/>
    <w:p>
      <w:pPr>
        <w:spacing w:after="11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Nota: los rubros 8 y 9 tienen mayor peso relativo en corredurías que en otros sectores — tres de los cuatro incisos del Apartado B (b, c, d) son objeto de Aviso en todo caso, sin umbral y sin acumulación, por lo que la omisión histórica de Avisos suele ser más extensa de lo que el Corredor anticipa, en especial en constituciones de sociedades y aumentos de capital de monto reducido.</w:t>
      </w:r>
    </w:p>
    <w:p>
      <w:pPr>
        <w:pBdr>
          <w:bottom w:val="single" w:color="B08D57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III. Resumen ejecutivo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shd w:fill="EDED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Total de rubros evaluados:</w:t>
            </w:r>
          </w:p>
        </w:tc>
        <w:tc>
          <w:tcPr>
            <w:tcW w:type="dxa" w:w="6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</w:tr>
      <w:tr>
        <w:tc>
          <w:tcPr>
            <w:tcW w:type="dxa" w:w="3200"/>
            <w:shd w:fill="EDED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Rubros en cumplimiento (VERDE):</w:t>
            </w:r>
          </w:p>
        </w:tc>
        <w:tc>
          <w:tcPr>
            <w:tcW w:type="dxa" w:w="6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  ]</w:t>
            </w:r>
          </w:p>
        </w:tc>
      </w:tr>
      <w:tr>
        <w:tc>
          <w:tcPr>
            <w:tcW w:type="dxa" w:w="3200"/>
            <w:shd w:fill="EDED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Rubros en cumplimiento parcial (AMARILLO):</w:t>
            </w:r>
          </w:p>
        </w:tc>
        <w:tc>
          <w:tcPr>
            <w:tcW w:type="dxa" w:w="6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  ]</w:t>
            </w:r>
          </w:p>
        </w:tc>
      </w:tr>
      <w:tr>
        <w:tc>
          <w:tcPr>
            <w:tcW w:type="dxa" w:w="3200"/>
            <w:shd w:fill="EDED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Rubros en incumplimiento (ROJO):</w:t>
            </w:r>
          </w:p>
        </w:tc>
        <w:tc>
          <w:tcPr>
            <w:tcW w:type="dxa" w:w="6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  ]</w:t>
            </w:r>
          </w:p>
        </w:tc>
      </w:tr>
      <w:tr>
        <w:tc>
          <w:tcPr>
            <w:tcW w:type="dxa" w:w="3200"/>
            <w:shd w:fill="EDED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Multa máxima acumulada estimada:</w:t>
            </w:r>
          </w:p>
        </w:tc>
        <w:tc>
          <w:tcPr>
            <w:tcW w:type="dxa" w:w="6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$[  ] MXN</w:t>
            </w:r>
          </w:p>
        </w:tc>
      </w:tr>
      <w:tr>
        <w:tc>
          <w:tcPr>
            <w:tcW w:type="dxa" w:w="3200"/>
            <w:shd w:fill="EDED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Beneficio por actuación espontánea (Art. 55: abstención por única ocasión o reducción de hasta 50%):</w:t>
            </w:r>
          </w:p>
        </w:tc>
        <w:tc>
          <w:tcPr>
            <w:tcW w:type="dxa" w:w="6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$[  ] MXN</w:t>
            </w:r>
          </w:p>
        </w:tc>
      </w:tr>
      <w:tr>
        <w:tc>
          <w:tcPr>
            <w:tcW w:type="dxa" w:w="3200"/>
            <w:shd w:fill="EDED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Riesgo adicional (Art. 58 — procedimiento ante la Secretaría de Economía):</w:t>
            </w:r>
          </w:p>
        </w:tc>
        <w:tc>
          <w:tcPr>
            <w:tcW w:type="dxa" w:w="6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 ] Sí, aplica  [ ] No identificado</w:t>
            </w:r>
          </w:p>
        </w:tc>
      </w:tr>
    </w:tbl>
    <w:p>
      <w:pPr>
        <w:pBdr>
          <w:bottom w:val="single" w:color="B08D57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IV. Plan de acción correctiva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1600"/>
        <w:gridCol w:w="1300"/>
        <w:gridCol w:w="1450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Rubro</w:t>
            </w:r>
          </w:p>
        </w:tc>
        <w:tc>
          <w:tcPr>
            <w:tcW w:type="dxa" w:w="35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Acción correctiva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Doc. Certus PLD</w:t>
            </w:r>
          </w:p>
        </w:tc>
        <w:tc>
          <w:tcPr>
            <w:tcW w:type="dxa" w:w="13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Plazo sugerido</w:t>
            </w:r>
          </w:p>
        </w:tc>
        <w:tc>
          <w:tcPr>
            <w:tcW w:type="dxa" w:w="14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Responsable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1 - Registro SAT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Iniciar el trámite de alta y registro personal en el SPPLD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D3-COR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Semana 1</w:t>
            </w:r>
          </w:p>
        </w:tc>
        <w:tc>
          <w:tcPr>
            <w:tcW w:type="dxa" w:w="14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Corredor Titular</w:t>
            </w:r>
          </w:p>
        </w:tc>
      </w:tr>
      <w:tr>
        <w:tc>
          <w:tcPr>
            <w:tcW w:type="dxa" w:w="150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2 - Asunción personal</w:t>
            </w:r>
          </w:p>
        </w:tc>
        <w:tc>
          <w:tcPr>
            <w:tcW w:type="dxa" w:w="350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Firmar la Constancia de Asunción Personal</w:t>
            </w:r>
          </w:p>
        </w:tc>
        <w:tc>
          <w:tcPr>
            <w:tcW w:type="dxa" w:w="160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D2-COR</w:t>
            </w:r>
          </w:p>
        </w:tc>
        <w:tc>
          <w:tcPr>
            <w:tcW w:type="dxa" w:w="130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Semana 1</w:t>
            </w:r>
          </w:p>
        </w:tc>
        <w:tc>
          <w:tcPr>
            <w:tcW w:type="dxa" w:w="145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Corredor Titular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8 - Avisos sin umbral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Revisar el libro de registro: todos los actos de los incisos b), c) y d) sin Aviso presentado; evaluar regularización espontánea (Art. 55)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D12-COR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Semana 1-2</w:t>
            </w:r>
          </w:p>
        </w:tc>
        <w:tc>
          <w:tcPr>
            <w:tcW w:type="dxa" w:w="14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Corredor Titular</w:t>
            </w:r>
          </w:p>
        </w:tc>
      </w:tr>
      <w:tr>
        <w:tc>
          <w:tcPr>
            <w:tcW w:type="dxa" w:w="150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9 - Avalúos</w:t>
            </w:r>
          </w:p>
        </w:tc>
        <w:tc>
          <w:tcPr>
            <w:tcW w:type="dxa" w:w="350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Identificar los avalúos emitidos con fe pública de 8,025 UMA o más y su estatus de Aviso</w:t>
            </w:r>
          </w:p>
        </w:tc>
        <w:tc>
          <w:tcPr>
            <w:tcW w:type="dxa" w:w="160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D12-COR</w:t>
            </w:r>
          </w:p>
        </w:tc>
        <w:tc>
          <w:tcPr>
            <w:tcW w:type="dxa" w:w="130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Semana 2</w:t>
            </w:r>
          </w:p>
        </w:tc>
        <w:tc>
          <w:tcPr>
            <w:tcW w:type="dxa" w:w="145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Corredor Titular</w:t>
            </w:r>
          </w:p>
        </w:tc>
      </w:tr>
      <w:tr>
        <w:tc>
          <w:tcPr>
            <w:tcW w:type="dxa" w:w="150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4 - KYC</w:t>
            </w:r>
          </w:p>
        </w:tc>
        <w:tc>
          <w:tcPr>
            <w:tcW w:type="dxa" w:w="350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Integrar expedientes de las pólizas y actas formalizadas en los últimos 12 meses</w:t>
            </w:r>
          </w:p>
        </w:tc>
        <w:tc>
          <w:tcPr>
            <w:tcW w:type="dxa" w:w="160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D7-COR</w:t>
            </w:r>
          </w:p>
        </w:tc>
        <w:tc>
          <w:tcPr>
            <w:tcW w:type="dxa" w:w="130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Semana 2-4</w:t>
            </w:r>
          </w:p>
        </w:tc>
        <w:tc>
          <w:tcPr>
            <w:tcW w:type="dxa" w:w="145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Corredor / Enc. Operativo</w:t>
            </w:r>
          </w:p>
        </w:tc>
      </w:tr>
    </w:tbl>
    <w:p/>
    <w:p>
      <w:pPr>
        <w:pBdr>
          <w:top w:val="single" w:color="B08D57" w:sz="4" w:space="4"/>
        </w:pBdr>
        <w:spacing w:before="200"/>
      </w:pPr>
      <w:r>
        <w:rPr>
          <w:rFonts w:ascii="Calibri" w:cs="Calibri" w:eastAsia="Calibri" w:hAnsi="Calibri"/>
          <w:color w:val="808080"/>
          <w:sz w:val="16"/>
          <w:szCs w:val="16"/>
        </w:rPr>
        <w:t xml:space="preserve">CERTUS CONSULTORES  |  Certus PLD  |  Mérida, Yucatán  |  999 163 1363</w:t>
      </w:r>
    </w:p>
    <w:sectPr>
      <w:pgSz w:w="12240" w:h="15840" w:orient="portrait"/>
      <w:pgMar w:top="900" w:right="700" w:bottom="9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2026-09-09T01:41:35.476Z</dcterms:created>
  <dcterms:modified xsi:type="dcterms:W3CDTF">2026-09-09T01:41:35.487Z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