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D0-NOT </w:t>
            </w:r>
            <w:r>
              <w:rPr>
                <w:rFonts w:ascii="Calibri" w:cs="Calibri" w:eastAsia="Calibri" w:hAnsi="Calibri"/>
                <w:b/>
                <w:bCs/>
                <w:color w:val="FFFFFF"/>
                <w:sz w:val="22"/>
                <w:szCs w:val="22"/>
              </w:rPr>
              <w:t xml:space="preserve">Carta de Recomendaciones Urgentes en Materia PLD/FT — Notarías</w:t>
            </w:r>
          </w:p>
          <w:p>
            <w:pPr>
              <w:spacing w:before="40"/>
            </w:pPr>
            <w:r>
              <w:rPr>
                <w:rFonts w:ascii="Calibri" w:cs="Calibri" w:eastAsia="Calibri" w:hAnsi="Calibri"/>
                <w:color w:val="D9D9D9"/>
                <w:sz w:val="18"/>
                <w:szCs w:val="18"/>
              </w:rPr>
              <w:t xml:space="preserve">Notaría: [Denominación de la Notaría]   │   Variante: Fe Pública — Fracción XII LFPIORPI</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EDEDED" w:val="clear"/>
            <w:tcMar>
              <w:top w:type="dxa" w:w="70"/>
              <w:left w:type="dxa" w:w="90"/>
              <w:bottom w:type="dxa" w:w="70"/>
              <w:right w:type="dxa" w:w="90"/>
            </w:tcMar>
            <w:vAlign w:val="center"/>
          </w:tcPr>
          <w:p>
            <w:r>
              <w:rPr>
                <w:rFonts w:ascii="Calibri" w:cs="Calibri" w:eastAsia="Calibri" w:hAnsi="Calibri"/>
                <w:b/>
                <w:bCs/>
                <w:sz w:val="18"/>
                <w:szCs w:val="18"/>
              </w:rPr>
              <w:t xml:space="preserve">Para:</w:t>
            </w:r>
          </w:p>
        </w:tc>
        <w:tc>
          <w:tcPr>
            <w:tcW w:type="dxa" w:w="7150"/>
            <w:tcMar>
              <w:top w:type="dxa" w:w="70"/>
              <w:left w:type="dxa" w:w="90"/>
              <w:bottom w:type="dxa" w:w="70"/>
              <w:right w:type="dxa" w:w="90"/>
            </w:tcMar>
            <w:vAlign w:val="center"/>
          </w:tcPr>
          <w:p>
            <w:r>
              <w:rPr>
                <w:rFonts w:ascii="Calibri" w:cs="Calibri" w:eastAsia="Calibri" w:hAnsi="Calibri"/>
                <w:b w:val="false"/>
                <w:bCs w:val="false"/>
                <w:sz w:val="18"/>
                <w:szCs w:val="18"/>
              </w:rPr>
              <w:t xml:space="preserve">[Nombre del Notario Titular]</w:t>
            </w:r>
          </w:p>
        </w:tc>
      </w:tr>
      <w:tr>
        <w:tc>
          <w:tcPr>
            <w:tcW w:type="dxa" w:w="2200"/>
            <w:shd w:fill="EDEDED" w:val="clear"/>
            <w:tcMar>
              <w:top w:type="dxa" w:w="70"/>
              <w:left w:type="dxa" w:w="90"/>
              <w:bottom w:type="dxa" w:w="70"/>
              <w:right w:type="dxa" w:w="90"/>
            </w:tcMar>
            <w:vAlign w:val="center"/>
          </w:tcPr>
          <w:p>
            <w:r>
              <w:rPr>
                <w:rFonts w:ascii="Calibri" w:cs="Calibri" w:eastAsia="Calibri" w:hAnsi="Calibri"/>
                <w:b/>
                <w:bCs/>
                <w:sz w:val="18"/>
                <w:szCs w:val="18"/>
              </w:rPr>
              <w:t xml:space="preserve">Notaría:</w:t>
            </w:r>
          </w:p>
        </w:tc>
        <w:tc>
          <w:tcPr>
            <w:tcW w:type="dxa" w:w="7150"/>
            <w:tcMar>
              <w:top w:type="dxa" w:w="70"/>
              <w:left w:type="dxa" w:w="90"/>
              <w:bottom w:type="dxa" w:w="70"/>
              <w:right w:type="dxa" w:w="90"/>
            </w:tcMar>
            <w:vAlign w:val="center"/>
          </w:tcPr>
          <w:p>
            <w:r>
              <w:rPr>
                <w:rFonts w:ascii="Calibri" w:cs="Calibri" w:eastAsia="Calibri" w:hAnsi="Calibri"/>
                <w:b w:val="false"/>
                <w:bCs w:val="false"/>
                <w:sz w:val="18"/>
                <w:szCs w:val="18"/>
              </w:rPr>
              <w:t xml:space="preserve">[Denominación completa y número]</w:t>
            </w:r>
          </w:p>
        </w:tc>
      </w:tr>
      <w:tr>
        <w:tc>
          <w:tcPr>
            <w:tcW w:type="dxa" w:w="2200"/>
            <w:shd w:fill="EDEDED" w:val="clear"/>
            <w:tcMar>
              <w:top w:type="dxa" w:w="70"/>
              <w:left w:type="dxa" w:w="90"/>
              <w:bottom w:type="dxa" w:w="70"/>
              <w:right w:type="dxa" w:w="90"/>
            </w:tcMar>
            <w:vAlign w:val="center"/>
          </w:tcPr>
          <w:p>
            <w:r>
              <w:rPr>
                <w:rFonts w:ascii="Calibri" w:cs="Calibri" w:eastAsia="Calibri" w:hAnsi="Calibri"/>
                <w:b/>
                <w:bCs/>
                <w:sz w:val="18"/>
                <w:szCs w:val="18"/>
              </w:rPr>
              <w:t xml:space="preserve">RFC:</w:t>
            </w:r>
          </w:p>
        </w:tc>
        <w:tc>
          <w:tcPr>
            <w:tcW w:type="dxa" w:w="7150"/>
            <w:tcMar>
              <w:top w:type="dxa" w:w="70"/>
              <w:left w:type="dxa" w:w="90"/>
              <w:bottom w:type="dxa" w:w="70"/>
              <w:right w:type="dxa" w:w="90"/>
            </w:tcMar>
            <w:vAlign w:val="center"/>
          </w:tcPr>
          <w:p>
            <w:r>
              <w:rPr>
                <w:rFonts w:ascii="Calibri" w:cs="Calibri" w:eastAsia="Calibri" w:hAnsi="Calibri"/>
                <w:b w:val="false"/>
                <w:bCs w:val="false"/>
                <w:sz w:val="18"/>
                <w:szCs w:val="18"/>
              </w:rPr>
              <w:t xml:space="preserve">[RFC]</w:t>
            </w:r>
          </w:p>
        </w:tc>
      </w:tr>
      <w:tr>
        <w:tc>
          <w:tcPr>
            <w:tcW w:type="dxa" w:w="2200"/>
            <w:shd w:fill="EDEDED" w:val="clear"/>
            <w:tcMar>
              <w:top w:type="dxa" w:w="70"/>
              <w:left w:type="dxa" w:w="90"/>
              <w:bottom w:type="dxa" w:w="70"/>
              <w:right w:type="dxa" w:w="90"/>
            </w:tcMar>
            <w:vAlign w:val="center"/>
          </w:tcPr>
          <w:p>
            <w:r>
              <w:rPr>
                <w:rFonts w:ascii="Calibri" w:cs="Calibri" w:eastAsia="Calibri" w:hAnsi="Calibri"/>
                <w:b/>
                <w:bCs/>
                <w:sz w:val="18"/>
                <w:szCs w:val="18"/>
              </w:rPr>
              <w:t xml:space="preserve">De:</w:t>
            </w:r>
          </w:p>
        </w:tc>
        <w:tc>
          <w:tcPr>
            <w:tcW w:type="dxa" w:w="7150"/>
            <w:tcMar>
              <w:top w:type="dxa" w:w="70"/>
              <w:left w:type="dxa" w:w="90"/>
              <w:bottom w:type="dxa" w:w="70"/>
              <w:right w:type="dxa" w:w="90"/>
            </w:tcMar>
            <w:vAlign w:val="center"/>
          </w:tcPr>
          <w:p>
            <w:r>
              <w:rPr>
                <w:rFonts w:ascii="Calibri" w:cs="Calibri" w:eastAsia="Calibri" w:hAnsi="Calibri"/>
                <w:b w:val="false"/>
                <w:bCs w:val="false"/>
                <w:sz w:val="18"/>
                <w:szCs w:val="18"/>
              </w:rPr>
              <w:t xml:space="preserve">Certus Consultores │ Certus PLD</w:t>
            </w:r>
          </w:p>
        </w:tc>
      </w:tr>
      <w:tr>
        <w:tc>
          <w:tcPr>
            <w:tcW w:type="dxa" w:w="2200"/>
            <w:shd w:fill="EDEDED" w:val="clear"/>
            <w:tcMar>
              <w:top w:type="dxa" w:w="70"/>
              <w:left w:type="dxa" w:w="90"/>
              <w:bottom w:type="dxa" w:w="70"/>
              <w:right w:type="dxa" w:w="90"/>
            </w:tcMar>
            <w:vAlign w:val="center"/>
          </w:tcPr>
          <w:p>
            <w:r>
              <w:rPr>
                <w:rFonts w:ascii="Calibri" w:cs="Calibri" w:eastAsia="Calibri" w:hAnsi="Calibri"/>
                <w:b/>
                <w:bCs/>
                <w:sz w:val="18"/>
                <w:szCs w:val="18"/>
              </w:rPr>
              <w:t xml:space="preserve">Correo:</w:t>
            </w:r>
          </w:p>
        </w:tc>
        <w:tc>
          <w:tcPr>
            <w:tcW w:type="dxa" w:w="7150"/>
            <w:tcMar>
              <w:top w:type="dxa" w:w="70"/>
              <w:left w:type="dxa" w:w="90"/>
              <w:bottom w:type="dxa" w:w="70"/>
              <w:right w:type="dxa" w:w="90"/>
            </w:tcMar>
            <w:vAlign w:val="center"/>
          </w:tcPr>
          <w:p>
            <w:r>
              <w:rPr>
                <w:rFonts w:ascii="Calibri" w:cs="Calibri" w:eastAsia="Calibri" w:hAnsi="Calibri"/>
                <w:b w:val="false"/>
                <w:bCs w:val="false"/>
                <w:sz w:val="18"/>
                <w:szCs w:val="18"/>
              </w:rPr>
              <w:t xml:space="preserve">contacto@certusconsultores.com.mx │ Tel. 999 163 1363</w:t>
            </w:r>
          </w:p>
        </w:tc>
      </w:tr>
      <w:tr>
        <w:tc>
          <w:tcPr>
            <w:tcW w:type="dxa" w:w="2200"/>
            <w:shd w:fill="EDEDED" w:val="clear"/>
            <w:tcMar>
              <w:top w:type="dxa" w:w="70"/>
              <w:left w:type="dxa" w:w="90"/>
              <w:bottom w:type="dxa" w:w="70"/>
              <w:right w:type="dxa" w:w="90"/>
            </w:tcMar>
            <w:vAlign w:val="center"/>
          </w:tcPr>
          <w:p>
            <w:r>
              <w:rPr>
                <w:rFonts w:ascii="Calibri" w:cs="Calibri" w:eastAsia="Calibri" w:hAnsi="Calibri"/>
                <w:b/>
                <w:bCs/>
                <w:sz w:val="18"/>
                <w:szCs w:val="18"/>
              </w:rPr>
              <w:t xml:space="preserve">Fecha:</w:t>
            </w:r>
          </w:p>
        </w:tc>
        <w:tc>
          <w:tcPr>
            <w:tcW w:type="dxa" w:w="7150"/>
            <w:tcMar>
              <w:top w:type="dxa" w:w="70"/>
              <w:left w:type="dxa" w:w="90"/>
              <w:bottom w:type="dxa" w:w="70"/>
              <w:right w:type="dxa" w:w="90"/>
            </w:tcMar>
            <w:vAlign w:val="center"/>
          </w:tcPr>
          <w:p>
            <w:r>
              <w:rPr>
                <w:rFonts w:ascii="Calibri" w:cs="Calibri" w:eastAsia="Calibri" w:hAnsi="Calibri"/>
                <w:b w:val="false"/>
                <w:bCs w:val="false"/>
                <w:sz w:val="18"/>
                <w:szCs w:val="18"/>
              </w:rPr>
              <w:t xml:space="preserve">[Ciudad, Fecha]</w:t>
            </w:r>
          </w:p>
        </w:tc>
      </w:tr>
      <w:tr>
        <w:tc>
          <w:tcPr>
            <w:tcW w:type="dxa" w:w="2200"/>
            <w:shd w:fill="EDEDED" w:val="clear"/>
            <w:tcMar>
              <w:top w:type="dxa" w:w="70"/>
              <w:left w:type="dxa" w:w="90"/>
              <w:bottom w:type="dxa" w:w="70"/>
              <w:right w:type="dxa" w:w="90"/>
            </w:tcMar>
            <w:vAlign w:val="center"/>
          </w:tcPr>
          <w:p>
            <w:r>
              <w:rPr>
                <w:rFonts w:ascii="Calibri" w:cs="Calibri" w:eastAsia="Calibri" w:hAnsi="Calibri"/>
                <w:b/>
                <w:bCs/>
                <w:sz w:val="18"/>
                <w:szCs w:val="18"/>
              </w:rPr>
              <w:t xml:space="preserve">Ref.:</w:t>
            </w:r>
          </w:p>
        </w:tc>
        <w:tc>
          <w:tcPr>
            <w:tcW w:type="dxa" w:w="7150"/>
            <w:tcMar>
              <w:top w:type="dxa" w:w="70"/>
              <w:left w:type="dxa" w:w="90"/>
              <w:bottom w:type="dxa" w:w="70"/>
              <w:right w:type="dxa" w:w="90"/>
            </w:tcMar>
            <w:vAlign w:val="center"/>
          </w:tcPr>
          <w:p>
            <w:r>
              <w:rPr>
                <w:rFonts w:ascii="Calibri" w:cs="Calibri" w:eastAsia="Calibri" w:hAnsi="Calibri"/>
                <w:b w:val="false"/>
                <w:bCs w:val="false"/>
                <w:sz w:val="18"/>
                <w:szCs w:val="18"/>
              </w:rPr>
              <w:t xml:space="preserve">PLD/FT — LFPIORPI reforma DOF 16/07/2025, Art. 17 Fracc. XII</w:t>
            </w:r>
          </w:p>
        </w:tc>
      </w:tr>
    </w:tbl>
    <w:p/>
    <w:p>
      <w:pPr>
        <w:pBdr>
          <w:bottom w:val="single" w:color="B08D57" w:sz="6" w:space="2"/>
        </w:pBdr>
        <w:spacing w:after="140" w:before="260"/>
      </w:pPr>
      <w:r>
        <w:rPr>
          <w:rFonts w:ascii="Calibri" w:cs="Calibri" w:eastAsia="Calibri" w:hAnsi="Calibri"/>
          <w:b/>
          <w:bCs/>
          <w:color w:val="1F3864"/>
          <w:sz w:val="24"/>
          <w:szCs w:val="24"/>
        </w:rPr>
        <w:t xml:space="preserve">I. Objeto de la presente</w:t>
      </w:r>
    </w:p>
    <w:p>
      <w:pPr>
        <w:spacing w:after="120"/>
      </w:pPr>
      <w:r>
        <w:rPr>
          <w:rFonts w:ascii="Calibri" w:cs="Calibri" w:eastAsia="Calibri" w:hAnsi="Calibri"/>
          <w:sz w:val="21"/>
          <w:szCs w:val="21"/>
        </w:rPr>
        <w:t xml:space="preserve">Por medio de la presente, y en ejercicio de nuestras funciones como consultores especializados en materia de Prevención de Lavado de Dinero y Financiamiento al Terrorismo (PLD/FT), nos permitimos comunicar a usted los incumplimientos identificados en el diagnóstico preliminar practicado a la Notaría a su cargo, respecto de las obligaciones previstas en la Ley Federal para la Prevención e Identificación de Operaciones con Recursos de Procedencia Ilícita (LFPIORPI), específicamente en su calidad de fedatario público sujeto a la Fracción XII, Apartado A, del artículo 17.</w:t>
      </w:r>
    </w:p>
    <w:p>
      <w:pPr>
        <w:pBdr>
          <w:bottom w:val="single" w:color="B08D57" w:sz="6" w:space="2"/>
        </w:pBdr>
        <w:spacing w:after="140" w:before="260"/>
      </w:pPr>
      <w:r>
        <w:rPr>
          <w:rFonts w:ascii="Calibri" w:cs="Calibri" w:eastAsia="Calibri" w:hAnsi="Calibri"/>
          <w:b/>
          <w:bCs/>
          <w:color w:val="1F3864"/>
          <w:sz w:val="24"/>
          <w:szCs w:val="24"/>
        </w:rPr>
        <w:t xml:space="preserve">II. Tabla de incumplimientos identificados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
        <w:gridCol w:w="3300"/>
        <w:gridCol w:w="2100"/>
        <w:gridCol w:w="2000"/>
        <w:gridCol w:w="1530"/>
      </w:tblGrid>
      <w:tr>
        <w:trPr>
          <w:tblHeader/>
        </w:trPr>
        <w:tc>
          <w:tcPr>
            <w:tcW w:type="dxa" w:w="42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No.</w:t>
            </w:r>
          </w:p>
        </w:tc>
        <w:tc>
          <w:tcPr>
            <w:tcW w:type="dxa" w:w="33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Incumplimiento Detectado</w:t>
            </w:r>
          </w:p>
        </w:tc>
        <w:tc>
          <w:tcPr>
            <w:tcW w:type="dxa" w:w="2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Inciso Aplicable (Fracc. XII, Ap. A)</w:t>
            </w:r>
          </w:p>
        </w:tc>
        <w:tc>
          <w:tcPr>
            <w:tcW w:type="dxa" w:w="2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Riesgo Sancionatorio</w:t>
            </w:r>
          </w:p>
        </w:tc>
        <w:tc>
          <w:tcPr>
            <w:tcW w:type="dxa" w:w="153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Prioridad</w:t>
            </w:r>
          </w:p>
        </w:tc>
      </w:tr>
      <w:tr>
        <w:tc>
          <w:tcPr>
            <w:tcW w:type="dxa" w:w="42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1</w:t>
            </w:r>
          </w:p>
        </w:tc>
        <w:tc>
          <w:tcPr>
            <w:tcW w:type="dxa" w:w="33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Omisión de registro ante el SAT (SPPLD) como notario público</w:t>
            </w:r>
          </w:p>
        </w:tc>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Todos</w:t>
            </w:r>
          </w:p>
        </w:tc>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200 a 2,000 UMA ($23,462–$234,620)</w:t>
            </w:r>
          </w:p>
        </w:tc>
        <w:tc>
          <w:tcPr>
            <w:tcW w:type="dxa" w:w="153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CRÍTICO</w:t>
            </w:r>
          </w:p>
        </w:tc>
      </w:tr>
      <w:tr>
        <w:tc>
          <w:tcPr>
            <w:tcW w:type="dxa" w:w="42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2</w:t>
            </w:r>
          </w:p>
        </w:tc>
        <w:tc>
          <w:tcPr>
            <w:tcW w:type="dxa" w:w="33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Sin constancia de asunción personal de las obligaciones PLD/FT (D2-NOT)</w:t>
            </w:r>
          </w:p>
        </w:tc>
        <w:tc>
          <w:tcPr>
            <w:tcW w:type="dxa" w:w="21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Art. 20 LFPIORPI</w:t>
            </w:r>
          </w:p>
        </w:tc>
        <w:tc>
          <w:tcPr>
            <w:tcW w:type="dxa" w:w="20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Base para todo lo demás</w:t>
            </w:r>
          </w:p>
        </w:tc>
        <w:tc>
          <w:tcPr>
            <w:tcW w:type="dxa" w:w="153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CRÍTICO</w:t>
            </w:r>
          </w:p>
        </w:tc>
      </w:tr>
      <w:tr>
        <w:tc>
          <w:tcPr>
            <w:tcW w:type="dxa" w:w="42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3</w:t>
            </w:r>
          </w:p>
        </w:tc>
        <w:tc>
          <w:tcPr>
            <w:tcW w:type="dxa" w:w="33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Ausencia de Manual de Cumplimiento PLD/FT</w:t>
            </w:r>
          </w:p>
        </w:tc>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Art. 18 Fracc. VIII</w:t>
            </w:r>
          </w:p>
        </w:tc>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200 a 2,000 UMA ($23,462–$234,620)</w:t>
            </w:r>
          </w:p>
        </w:tc>
        <w:tc>
          <w:tcPr>
            <w:tcW w:type="dxa" w:w="153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ALTO</w:t>
            </w:r>
          </w:p>
        </w:tc>
      </w:tr>
      <w:tr>
        <w:tc>
          <w:tcPr>
            <w:tcW w:type="dxa" w:w="42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4</w:t>
            </w:r>
          </w:p>
        </w:tc>
        <w:tc>
          <w:tcPr>
            <w:tcW w:type="dxa" w:w="33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Sin expedientes KYC de clientes con actos recientes</w:t>
            </w:r>
          </w:p>
        </w:tc>
        <w:tc>
          <w:tcPr>
            <w:tcW w:type="dxa" w:w="21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Art. 18 Fracc. I-III</w:t>
            </w:r>
          </w:p>
        </w:tc>
        <w:tc>
          <w:tcPr>
            <w:tcW w:type="dxa" w:w="20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200 a 2,000 UMA ($23,462–$234,620)</w:t>
            </w:r>
          </w:p>
        </w:tc>
        <w:tc>
          <w:tcPr>
            <w:tcW w:type="dxa" w:w="153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ALTO</w:t>
            </w:r>
          </w:p>
        </w:tc>
      </w:tr>
      <w:tr>
        <w:tc>
          <w:tcPr>
            <w:tcW w:type="dxa" w:w="42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5</w:t>
            </w:r>
          </w:p>
        </w:tc>
        <w:tc>
          <w:tcPr>
            <w:tcW w:type="dxa" w:w="33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Sin Metodología EBR ni evaluación de beneficiario controlador reforzada</w:t>
            </w:r>
          </w:p>
        </w:tc>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Art. 18 Fracc. VII</w:t>
            </w:r>
          </w:p>
        </w:tc>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200 a 2,000 UMA ($23,462–$234,620)</w:t>
            </w:r>
          </w:p>
        </w:tc>
        <w:tc>
          <w:tcPr>
            <w:tcW w:type="dxa" w:w="153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ALTO</w:t>
            </w:r>
          </w:p>
        </w:tc>
      </w:tr>
      <w:tr>
        <w:tc>
          <w:tcPr>
            <w:tcW w:type="dxa" w:w="42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6</w:t>
            </w:r>
          </w:p>
        </w:tc>
        <w:tc>
          <w:tcPr>
            <w:tcW w:type="dxa" w:w="33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Sin Política de Personas Expuestas Políticamente (PEP's)</w:t>
            </w:r>
          </w:p>
        </w:tc>
        <w:tc>
          <w:tcPr>
            <w:tcW w:type="dxa" w:w="21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Art. 18 Fracc. VIII</w:t>
            </w:r>
          </w:p>
        </w:tc>
        <w:tc>
          <w:tcPr>
            <w:tcW w:type="dxa" w:w="20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200 a 2,000 UMA ($23,462–$234,620)</w:t>
            </w:r>
          </w:p>
        </w:tc>
        <w:tc>
          <w:tcPr>
            <w:tcW w:type="dxa" w:w="153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ALTO</w:t>
            </w:r>
          </w:p>
        </w:tc>
      </w:tr>
      <w:tr>
        <w:tc>
          <w:tcPr>
            <w:tcW w:type="dxa" w:w="42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7</w:t>
            </w:r>
          </w:p>
        </w:tc>
        <w:tc>
          <w:tcPr>
            <w:tcW w:type="dxa" w:w="33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Avisos omitidos en actos de los incisos b), c) o e) (siempre obligatorios, sin importar el monto)</w:t>
            </w:r>
          </w:p>
        </w:tc>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b), c), e)</w:t>
            </w:r>
          </w:p>
        </w:tc>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10,000 a 65,000 UMA ($1,173,100–$7,625,150) o 10%–100% del valor del acto, lo que resulte mayor</w:t>
            </w:r>
          </w:p>
        </w:tc>
        <w:tc>
          <w:tcPr>
            <w:tcW w:type="dxa" w:w="153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CRÍTICO</w:t>
            </w:r>
          </w:p>
        </w:tc>
      </w:tr>
      <w:tr>
        <w:tc>
          <w:tcPr>
            <w:tcW w:type="dxa" w:w="42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8</w:t>
            </w:r>
          </w:p>
        </w:tc>
        <w:tc>
          <w:tcPr>
            <w:tcW w:type="dxa" w:w="33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Instrumentos sin identificación de la forma de pago en actos del Art. 32 (inmuebles) de 8,025 UMA o más</w:t>
            </w:r>
          </w:p>
        </w:tc>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Art. 33</w:t>
            </w:r>
          </w:p>
        </w:tc>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2,000 a 10,000 UMA ($234,620–$1,173,100)</w:t>
            </w:r>
          </w:p>
        </w:tc>
        <w:tc>
          <w:tcPr>
            <w:tcW w:type="dxa" w:w="153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ALTO</w:t>
            </w:r>
          </w:p>
        </w:tc>
      </w:tr>
      <w:tr>
        <w:tc>
          <w:tcPr>
            <w:tcW w:type="dxa" w:w="42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9</w:t>
            </w:r>
          </w:p>
        </w:tc>
        <w:tc>
          <w:tcPr>
            <w:tcW w:type="dxa" w:w="33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Sin programa anual de capacitación ni procedimiento de selección de personal</w:t>
            </w:r>
          </w:p>
        </w:tc>
        <w:tc>
          <w:tcPr>
            <w:tcW w:type="dxa" w:w="21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Art. 18 Fracc. IX</w:t>
            </w:r>
          </w:p>
        </w:tc>
        <w:tc>
          <w:tcPr>
            <w:tcW w:type="dxa" w:w="20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200 a 2,000 UMA ($23,462–$234,620)</w:t>
            </w:r>
          </w:p>
        </w:tc>
        <w:tc>
          <w:tcPr>
            <w:tcW w:type="dxa" w:w="153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MEDIO</w:t>
            </w:r>
          </w:p>
        </w:tc>
      </w:tr>
      <w:tr>
        <w:tc>
          <w:tcPr>
            <w:tcW w:type="dxa" w:w="42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10</w:t>
            </w:r>
          </w:p>
        </w:tc>
        <w:tc>
          <w:tcPr>
            <w:tcW w:type="dxa" w:w="33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Sin política de resguardo documental a 10 años</w:t>
            </w:r>
          </w:p>
        </w:tc>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Art. 18 Fracc. IV</w:t>
            </w:r>
          </w:p>
        </w:tc>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200 a 2,000 UMA ($23,462–$234,620)</w:t>
            </w:r>
          </w:p>
        </w:tc>
        <w:tc>
          <w:tcPr>
            <w:tcW w:type="dxa" w:w="1530"/>
            <w:shd w:fill="FFFFFF"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MEDIO</w:t>
            </w:r>
          </w:p>
        </w:tc>
      </w:tr>
      <w:tr>
        <w:tc>
          <w:tcPr>
            <w:tcW w:type="dxa" w:w="42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11</w:t>
            </w:r>
          </w:p>
        </w:tc>
        <w:tc>
          <w:tcPr>
            <w:tcW w:type="dxa" w:w="33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Sin mecanismos automatizados de monitoreo (exigibles a más tardar el 1 de junio de 2027)</w:t>
            </w:r>
          </w:p>
        </w:tc>
        <w:tc>
          <w:tcPr>
            <w:tcW w:type="dxa" w:w="21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Art. 18 Fracc. X</w:t>
            </w:r>
          </w:p>
        </w:tc>
        <w:tc>
          <w:tcPr>
            <w:tcW w:type="dxa" w:w="200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200 a 2,000 UMA ($23,462–$234,620)</w:t>
            </w:r>
          </w:p>
        </w:tc>
        <w:tc>
          <w:tcPr>
            <w:tcW w:type="dxa" w:w="1530"/>
            <w:shd w:fill="F4F4F4" w:val="clear"/>
            <w:tcMar>
              <w:top w:type="dxa" w:w="70"/>
              <w:left w:type="dxa" w:w="90"/>
              <w:bottom w:type="dxa" w:w="70"/>
              <w:right w:type="dxa" w:w="90"/>
            </w:tcMar>
            <w:vAlign w:val="center"/>
          </w:tcPr>
          <w:p>
            <w:r>
              <w:rPr>
                <w:rFonts w:ascii="Calibri" w:cs="Calibri" w:eastAsia="Calibri" w:hAnsi="Calibri"/>
                <w:b w:val="false"/>
                <w:bCs w:val="false"/>
                <w:sz w:val="18"/>
                <w:szCs w:val="18"/>
              </w:rPr>
              <w:t xml:space="preserve">MEDIO</w:t>
            </w:r>
          </w:p>
        </w:tc>
      </w:tr>
    </w:tbl>
    <w:p>
      <w:pPr>
        <w:pBdr>
          <w:bottom w:val="single" w:color="B08D57" w:sz="6" w:space="2"/>
        </w:pBdr>
        <w:spacing w:after="140" w:before="260"/>
      </w:pPr>
      <w:r>
        <w:rPr>
          <w:rFonts w:ascii="Calibri" w:cs="Calibri" w:eastAsia="Calibri" w:hAnsi="Calibri"/>
          <w:b/>
          <w:bCs/>
          <w:color w:val="1F3864"/>
          <w:sz w:val="24"/>
          <w:szCs w:val="24"/>
        </w:rPr>
        <w:t xml:space="preserve">III. Marco normativo aplicable</w:t>
      </w:r>
    </w:p>
    <w:p>
      <w:pPr>
        <w:spacing w:after="120"/>
      </w:pPr>
      <w:r>
        <w:rPr>
          <w:rFonts w:ascii="Calibri" w:cs="Calibri" w:eastAsia="Calibri" w:hAnsi="Calibri"/>
          <w:sz w:val="21"/>
          <w:szCs w:val="21"/>
        </w:rPr>
        <w:t xml:space="preserve">La Notaría se ubica en el supuesto de sujeción de la LFPIORPI en la Fracción XII, Apartado A del artículo 17 — servicios de fe pública — respecto de los actos que formalice relacionados con: transmisión de inmuebles (inciso a), poderes irrevocables (inciso b), constitución y modificación de sociedades (inciso c), fideicomisos traslativos o de garantía (inciso d), y contratos de mutuo o crédito (inciso e).</w:t>
      </w:r>
    </w:p>
    <w:p>
      <w:pPr>
        <w:pBdr>
          <w:bottom w:val="single" w:color="B08D57" w:sz="6" w:space="2"/>
        </w:pBdr>
        <w:spacing w:after="140" w:before="260"/>
      </w:pPr>
      <w:r>
        <w:rPr>
          <w:rFonts w:ascii="Calibri" w:cs="Calibri" w:eastAsia="Calibri" w:hAnsi="Calibri"/>
          <w:b/>
          <w:bCs/>
          <w:color w:val="1F3864"/>
          <w:sz w:val="24"/>
          <w:szCs w:val="24"/>
        </w:rPr>
        <w:t xml:space="preserve">IV. Un riesgo adicional que no existe en otros sectores regulados</w:t>
      </w:r>
    </w:p>
    <w:p>
      <w:pPr>
        <w:spacing w:after="120"/>
      </w:pPr>
      <w:r>
        <w:rPr>
          <w:rFonts w:ascii="Calibri" w:cs="Calibri" w:eastAsia="Calibri" w:hAnsi="Calibri"/>
          <w:sz w:val="21"/>
          <w:szCs w:val="21"/>
        </w:rPr>
        <w:t xml:space="preserve">A diferencia de una inmobiliaria, el incumplimiento notarial no se agota en una multa económica. Conforme al artículo 58 LFPIORPI, cuando la Secretaría determina "notorias deficiencias" en el cumplimiento, no sanciona directamente: notifica a la autoridad estatal competente sobre el ejercicio de la fe pública para que instaure su propio procedimiento — con consecuencias que se rigen por la Ley del Notariado de la entidad, y que pueden incluir la suspensión del ejercicio. [VERIFICAR: alcance exacto conforme a la Ley del Notariado del estado de adscripción.] Este riesgo, sumado a la exposición económica, hace que la regularización no sea solo una recomendación de cumplimiento sino una protección directa de la patente notarial.</w:t>
      </w:r>
    </w:p>
    <w:p>
      <w:pPr>
        <w:pBdr>
          <w:bottom w:val="single" w:color="B08D57" w:sz="6" w:space="2"/>
        </w:pBdr>
        <w:spacing w:after="140" w:before="260"/>
      </w:pPr>
      <w:r>
        <w:rPr>
          <w:rFonts w:ascii="Calibri" w:cs="Calibri" w:eastAsia="Calibri" w:hAnsi="Calibri"/>
          <w:b/>
          <w:bCs/>
          <w:color w:val="1F3864"/>
          <w:sz w:val="24"/>
          <w:szCs w:val="24"/>
        </w:rPr>
        <w:t xml:space="preserve">V. Actuación espontánea — ventana de oportunidad</w:t>
      </w:r>
    </w:p>
    <w:p>
      <w:pPr>
        <w:spacing w:after="120"/>
      </w:pPr>
      <w:r>
        <w:rPr>
          <w:rFonts w:ascii="Calibri" w:cs="Calibri" w:eastAsia="Calibri" w:hAnsi="Calibri"/>
          <w:sz w:val="21"/>
          <w:szCs w:val="21"/>
        </w:rPr>
        <w:t xml:space="preserve">Conforme al artículo 55 LFPIORPI, si la Notaría cumple de manera espontánea y ANTES del inicio de las facultades de verificación de la Secretaría, y reconoce expresamente la falta, la autoridad se abstiene de sancionar, por única ocasión, el total de las infracciones; si el beneficio ya se ejerció, reduce hasta un 50% las multas.</w:t>
      </w:r>
    </w:p>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headerReference w:type="default" r:id="rId8"/>
      <w:footerReference w:type="default" r:id="rId9"/>
      <w:headerReference w:type="first" r:id="rId10"/>
      <w:footerReference w:type="first" r:id="rId11"/>
      <w:headerReference w:type="even" r:id="rId12"/>
      <w:footerReference w:type="even" r:id="rId13"/>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2026-09-09T01:22:00.191Z</dcterms:created>
  <dcterms:modified xsi:type="dcterms:W3CDTF">2026-09-09T01:22:00.191Z</dcterms:modified>
</cp:coreProperties>
</file>

<file path=docProps/custom.xml><?xml version="1.0" encoding="utf-8"?>
<Properties xmlns="http://schemas.openxmlformats.org/officeDocument/2006/custom-properties" xmlns:vt="http://schemas.openxmlformats.org/officeDocument/2006/docPropsVTypes"/>
</file>