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D11-B NOT </w:t>
            </w:r>
            <w:r>
              <w:rPr>
                <w:rFonts w:ascii="Calibri" w:cs="Calibri" w:eastAsia="Calibri" w:hAnsi="Calibri"/>
                <w:b/>
                <w:bCs/>
                <w:color w:val="FFFFFF"/>
                <w:sz w:val="22"/>
                <w:szCs w:val="22"/>
              </w:rPr>
              <w:t xml:space="preserve">Casos Prácticos — Certus PLD (Notarías)</w:t>
            </w:r>
          </w:p>
          <w:p>
            <w:pPr>
              <w:spacing w:before="40"/>
            </w:pPr>
            <w:r>
              <w:rPr>
                <w:rFonts w:ascii="Calibri" w:cs="Calibri" w:eastAsia="Calibri" w:hAnsi="Calibri"/>
                <w:color w:val="D9D9D9"/>
                <w:sz w:val="18"/>
                <w:szCs w:val="18"/>
              </w:rPr>
              <w:t xml:space="preserve">Notaría: [Denominación de la Notaría]   │   Variante: Fe Pública — Fracción XII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90"/>
              <w:left w:type="dxa" w:w="110"/>
              <w:bottom w:type="dxa" w:w="90"/>
              <w:right w:type="dxa" w:w="110"/>
            </w:tcMar>
            <w:vAlign w:val="center"/>
          </w:tcPr>
          <w:p>
            <w:r>
              <w:rPr>
                <w:rFonts w:ascii="Calibri" w:cs="Calibri" w:eastAsia="Calibri" w:hAnsi="Calibri"/>
                <w:b/>
                <w:bCs/>
                <w:sz w:val="19"/>
                <w:szCs w:val="19"/>
              </w:rPr>
              <w:t xml:space="preserve">Notaría:</w:t>
            </w:r>
          </w:p>
        </w:tc>
        <w:tc>
          <w:tcPr>
            <w:tcW w:type="dxa" w:w="6150"/>
            <w:tcMar>
              <w:top w:type="dxa" w:w="90"/>
              <w:left w:type="dxa" w:w="110"/>
              <w:bottom w:type="dxa" w:w="90"/>
              <w:right w:type="dxa" w:w="110"/>
            </w:tcMar>
            <w:vAlign w:val="center"/>
          </w:tcPr>
          <w:p>
            <w:r>
              <w:rPr>
                <w:rFonts w:ascii="Calibri" w:cs="Calibri" w:eastAsia="Calibri" w:hAnsi="Calibri"/>
                <w:b w:val="false"/>
                <w:bCs w:val="false"/>
                <w:sz w:val="19"/>
                <w:szCs w:val="19"/>
              </w:rPr>
              <w:t xml:space="preserve">[Denominación completa]</w:t>
            </w:r>
          </w:p>
        </w:tc>
      </w:tr>
      <w:tr>
        <w:tc>
          <w:tcPr>
            <w:tcW w:type="dxa" w:w="3200"/>
            <w:shd w:fill="EDEDED" w:val="clear"/>
            <w:tcMar>
              <w:top w:type="dxa" w:w="90"/>
              <w:left w:type="dxa" w:w="110"/>
              <w:bottom w:type="dxa" w:w="90"/>
              <w:right w:type="dxa" w:w="110"/>
            </w:tcMar>
            <w:vAlign w:val="center"/>
          </w:tcPr>
          <w:p>
            <w:r>
              <w:rPr>
                <w:rFonts w:ascii="Calibri" w:cs="Calibri" w:eastAsia="Calibri" w:hAnsi="Calibri"/>
                <w:b/>
                <w:bCs/>
                <w:sz w:val="19"/>
                <w:szCs w:val="19"/>
              </w:rPr>
              <w:t xml:space="preserve">Fecha:</w:t>
            </w:r>
          </w:p>
        </w:tc>
        <w:tc>
          <w:tcPr>
            <w:tcW w:type="dxa" w:w="6150"/>
            <w:tcMar>
              <w:top w:type="dxa" w:w="90"/>
              <w:left w:type="dxa" w:w="110"/>
              <w:bottom w:type="dxa" w:w="90"/>
              <w:right w:type="dxa" w:w="110"/>
            </w:tcMar>
            <w:vAlign w:val="center"/>
          </w:tcPr>
          <w:p>
            <w:r>
              <w:rPr>
                <w:rFonts w:ascii="Calibri" w:cs="Calibri" w:eastAsia="Calibri" w:hAnsi="Calibri"/>
                <w:b w:val="false"/>
                <w:bCs w:val="false"/>
                <w:sz w:val="19"/>
                <w:szCs w:val="19"/>
              </w:rPr>
              <w:t xml:space="preserve">[Fecha]</w:t>
            </w:r>
          </w:p>
        </w:tc>
      </w:tr>
      <w:tr>
        <w:tc>
          <w:tcPr>
            <w:tcW w:type="dxa" w:w="3200"/>
            <w:shd w:fill="EDEDED" w:val="clear"/>
            <w:tcMar>
              <w:top w:type="dxa" w:w="90"/>
              <w:left w:type="dxa" w:w="110"/>
              <w:bottom w:type="dxa" w:w="90"/>
              <w:right w:type="dxa" w:w="110"/>
            </w:tcMar>
            <w:vAlign w:val="center"/>
          </w:tcPr>
          <w:p>
            <w:r>
              <w:rPr>
                <w:rFonts w:ascii="Calibri" w:cs="Calibri" w:eastAsia="Calibri" w:hAnsi="Calibri"/>
                <w:b/>
                <w:bCs/>
                <w:sz w:val="19"/>
                <w:szCs w:val="19"/>
              </w:rPr>
              <w:t xml:space="preserve">Uso:</w:t>
            </w:r>
          </w:p>
        </w:tc>
        <w:tc>
          <w:tcPr>
            <w:tcW w:type="dxa" w:w="6150"/>
            <w:tcMar>
              <w:top w:type="dxa" w:w="90"/>
              <w:left w:type="dxa" w:w="110"/>
              <w:bottom w:type="dxa" w:w="90"/>
              <w:right w:type="dxa" w:w="110"/>
            </w:tcMar>
            <w:vAlign w:val="center"/>
          </w:tcPr>
          <w:p>
            <w:r>
              <w:rPr>
                <w:rFonts w:ascii="Calibri" w:cs="Calibri" w:eastAsia="Calibri" w:hAnsi="Calibri"/>
                <w:b w:val="false"/>
                <w:bCs w:val="false"/>
                <w:sz w:val="19"/>
                <w:szCs w:val="19"/>
              </w:rPr>
              <w:t xml:space="preserve">Material de capacitación presencial — Programa Certus PLD</w:t>
            </w:r>
          </w:p>
        </w:tc>
      </w:tr>
      <w:tr>
        <w:tc>
          <w:tcPr>
            <w:tcW w:type="dxa" w:w="3200"/>
            <w:shd w:fill="EDEDED" w:val="clear"/>
            <w:tcMar>
              <w:top w:type="dxa" w:w="90"/>
              <w:left w:type="dxa" w:w="110"/>
              <w:bottom w:type="dxa" w:w="90"/>
              <w:right w:type="dxa" w:w="110"/>
            </w:tcMar>
            <w:vAlign w:val="center"/>
          </w:tcPr>
          <w:p>
            <w:r>
              <w:rPr>
                <w:rFonts w:ascii="Calibri" w:cs="Calibri" w:eastAsia="Calibri" w:hAnsi="Calibri"/>
                <w:b/>
                <w:bCs/>
                <w:sz w:val="19"/>
                <w:szCs w:val="19"/>
              </w:rPr>
              <w:t xml:space="preserve">Elaboró:</w:t>
            </w:r>
          </w:p>
        </w:tc>
        <w:tc>
          <w:tcPr>
            <w:tcW w:type="dxa" w:w="6150"/>
            <w:tcMar>
              <w:top w:type="dxa" w:w="90"/>
              <w:left w:type="dxa" w:w="110"/>
              <w:bottom w:type="dxa" w:w="90"/>
              <w:right w:type="dxa" w:w="110"/>
            </w:tcMar>
            <w:vAlign w:val="center"/>
          </w:tcPr>
          <w:p>
            <w:r>
              <w:rPr>
                <w:rFonts w:ascii="Calibri" w:cs="Calibri" w:eastAsia="Calibri" w:hAnsi="Calibri"/>
                <w:b w:val="false"/>
                <w:bCs w:val="false"/>
                <w:sz w:val="19"/>
                <w:szCs w:val="19"/>
              </w:rPr>
              <w:t xml:space="preserve">Certus Consultores │ Certus PLD</w:t>
            </w:r>
          </w:p>
        </w:tc>
      </w:tr>
      <w:tr>
        <w:tc>
          <w:tcPr>
            <w:tcW w:type="dxa" w:w="3200"/>
            <w:shd w:fill="EDEDED" w:val="clear"/>
            <w:tcMar>
              <w:top w:type="dxa" w:w="90"/>
              <w:left w:type="dxa" w:w="110"/>
              <w:bottom w:type="dxa" w:w="90"/>
              <w:right w:type="dxa" w:w="110"/>
            </w:tcMar>
            <w:vAlign w:val="center"/>
          </w:tcPr>
          <w:p>
            <w:r>
              <w:rPr>
                <w:rFonts w:ascii="Calibri" w:cs="Calibri" w:eastAsia="Calibri" w:hAnsi="Calibri"/>
                <w:b/>
                <w:bCs/>
                <w:sz w:val="19"/>
                <w:szCs w:val="19"/>
              </w:rPr>
              <w:t xml:space="preserve">Instrucciones:</w:t>
            </w:r>
          </w:p>
        </w:tc>
        <w:tc>
          <w:tcPr>
            <w:tcW w:type="dxa" w:w="6150"/>
            <w:tcMar>
              <w:top w:type="dxa" w:w="90"/>
              <w:left w:type="dxa" w:w="110"/>
              <w:bottom w:type="dxa" w:w="90"/>
              <w:right w:type="dxa" w:w="110"/>
            </w:tcMar>
            <w:vAlign w:val="center"/>
          </w:tcPr>
          <w:p>
            <w:r>
              <w:rPr>
                <w:rFonts w:ascii="Calibri" w:cs="Calibri" w:eastAsia="Calibri" w:hAnsi="Calibri"/>
                <w:b w:val="false"/>
                <w:bCs w:val="false"/>
                <w:sz w:val="19"/>
                <w:szCs w:val="19"/>
              </w:rPr>
              <w:t xml:space="preserve">Leer cada caso en grupo, responder las preguntas antes de revisar la respuesta modelo</w:t>
            </w:r>
          </w:p>
        </w:tc>
      </w:tr>
    </w:tbl>
    <w:p/>
    <w:p>
      <w:pPr>
        <w:spacing w:after="110"/>
      </w:pPr>
      <w:r>
        <w:rPr>
          <w:rFonts w:ascii="Calibri" w:cs="Calibri" w:eastAsia="Calibri" w:hAnsi="Calibri"/>
          <w:i/>
          <w:iCs/>
          <w:sz w:val="20"/>
          <w:szCs w:val="20"/>
        </w:rPr>
        <w:t xml:space="preserve">Los siguientes 6 casos prácticos están diseñados para reforzar el aprendizaje del Programa Certus PLD a través de situaciones reales del ejercicio notarial bajo la Fracción XII, Apartado A. Cada caso presenta una situación típica, preguntas de análisis y una respuesta modelo detallada.</w:t>
      </w:r>
    </w:p>
    <w:p>
      <w:pPr>
        <w:spacing w:after="40" w:before="220"/>
      </w:pPr>
      <w:r>
        <w:rPr>
          <w:rFonts w:ascii="Calibri" w:cs="Calibri" w:eastAsia="Calibri" w:hAnsi="Calibri"/>
          <w:b/>
          <w:bCs/>
          <w:color w:val="0A1628"/>
          <w:sz w:val="21"/>
          <w:szCs w:val="21"/>
        </w:rPr>
        <w:t xml:space="preserve">Caso 1: El poder que "no ameritaba aviso"</w:t>
      </w:r>
    </w:p>
    <w:p>
      <w:pPr>
        <w:spacing w:after="80" w:before="40"/>
      </w:pPr>
      <w:r>
        <w:rPr>
          <w:rFonts w:ascii="Calibri" w:cs="Calibri" w:eastAsia="Calibri" w:hAnsi="Calibri"/>
          <w:b/>
          <w:bCs/>
          <w:i/>
          <w:iCs/>
          <w:color w:val="0A1628"/>
          <w:sz w:val="18"/>
          <w:szCs w:val="18"/>
        </w:rPr>
        <w:t xml:space="preserve">Módulo 1 — Marco Normativo</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El Notario Ricardo autoriza un poder general para actos de dominio con carácter irrevocable, otorgado por una persona física a favor de su sobrino, para que este administre y eventualmente pueda vender un rancho familiar. Como el poder no tiene un valor económico expreso asignado y no hay contraprestación de por medio, el Notario considera que "no aplica LFPIORPI porque no hay dinero de por medio" y no presenta aviso.</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¿Es correcto el razonamiento del Notario Ricardo?</w:t>
      </w:r>
    </w:p>
    <w:p>
      <w:pPr>
        <w:spacing w:after="110"/>
      </w:pPr>
      <w:r>
        <w:rPr>
          <w:rFonts w:ascii="Calibri" w:cs="Calibri" w:eastAsia="Calibri" w:hAnsi="Calibri"/>
          <w:sz w:val="20"/>
          <w:szCs w:val="20"/>
        </w:rPr>
        <w:t xml:space="preserve">2. ¿Qué inciso de la Fracción XII, Apartado A, aplica a este acto?</w:t>
      </w:r>
    </w:p>
    <w:p>
      <w:pPr>
        <w:spacing w:after="110"/>
      </w:pPr>
      <w:r>
        <w:rPr>
          <w:rFonts w:ascii="Calibri" w:cs="Calibri" w:eastAsia="Calibri" w:hAnsi="Calibri"/>
          <w:sz w:val="20"/>
          <w:szCs w:val="20"/>
        </w:rPr>
        <w:t xml:space="preserve">3. ¿El umbral económico es relevante para decidir si se presenta el aviso?</w:t>
      </w:r>
    </w:p>
    <w:p>
      <w:pPr>
        <w:spacing w:after="110"/>
      </w:pPr>
      <w:r>
        <w:rPr>
          <w:rFonts w:ascii="Calibri" w:cs="Calibri" w:eastAsia="Calibri" w:hAnsi="Calibri"/>
          <w:sz w:val="20"/>
          <w:szCs w:val="20"/>
        </w:rPr>
        <w:t xml:space="preserve">4. ¿Qué exposición sancionatoria tiene la Notaría por no haber presentado el aviso?</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No es correcto. El otorgamiento de poderes para actos de administración o dominio con carácter IRREVOCABLE cae en el inciso b) de la Fracción XII, Apartado A, y este inciso es SIEMPRE objeto de aviso, sin importar si hay o no valor económico asignado al acto ni si hubo contraprestación. El umbral económico es irrelevante aquí — a diferencia del inciso a) (inmuebles), en el inciso b) no existe un piso mínimo. La omisión del aviso expone a la Notaría a una multa de 10,000 a 65,000 UMA conforme al artículo 54, fracción III — aquí rige el rango en UMA, porque el acto no tiene valor monetario —, y cualquier omisión de Avisos (Art. 53, fr. VI) es, desde la primera vez, una "notoria deficiencia" que la Secretaría informa a la autoridad estatal de fe pública (Art. 58, fr. II); la reincidencia solo se exige para las fracciones I a V del artículo 53.</w:t>
            </w:r>
          </w:p>
        </w:tc>
      </w:tr>
    </w:tbl>
    <w:p>
      <w:pPr>
        <w:spacing w:after="40" w:before="220"/>
      </w:pPr>
      <w:r>
        <w:rPr>
          <w:rFonts w:ascii="Calibri" w:cs="Calibri" w:eastAsia="Calibri" w:hAnsi="Calibri"/>
          <w:b/>
          <w:bCs/>
          <w:color w:val="0A1628"/>
          <w:sz w:val="21"/>
          <w:szCs w:val="21"/>
        </w:rPr>
        <w:t xml:space="preserve">Caso 2: El comprador con prisa</w:t>
      </w:r>
    </w:p>
    <w:p>
      <w:pPr>
        <w:spacing w:after="80" w:before="40"/>
      </w:pPr>
      <w:r>
        <w:rPr>
          <w:rFonts w:ascii="Calibri" w:cs="Calibri" w:eastAsia="Calibri" w:hAnsi="Calibri"/>
          <w:b/>
          <w:bCs/>
          <w:i/>
          <w:iCs/>
          <w:color w:val="0A1628"/>
          <w:sz w:val="18"/>
          <w:szCs w:val="18"/>
        </w:rPr>
        <w:t xml:space="preserve">Módulo 2 — Señales de Alerta</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Un cliente se presenta ante el Notario para formalizar la compra de un inmueble comercial de $3,800,000 MXN. Ofrece pagar $900,000 MXN en efectivo en ese momento y el resto mediante transferencia "en los próximos días, ya vemos cómo". Cuando se le pregunta a qué se dedica, responde que "tiene varios negocios" sin especificar cuáles, y el comprobante de domicilio que presenta corresponde a un estado distinto al de su identificación oficial.</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¿Cuántas señales de alerta identificas en esta situación?</w:t>
      </w:r>
    </w:p>
    <w:p>
      <w:pPr>
        <w:spacing w:after="110"/>
      </w:pPr>
      <w:r>
        <w:rPr>
          <w:rFonts w:ascii="Calibri" w:cs="Calibri" w:eastAsia="Calibri" w:hAnsi="Calibri"/>
          <w:sz w:val="20"/>
          <w:szCs w:val="20"/>
        </w:rPr>
        <w:t xml:space="preserve">2. ¿Puede el Notario aceptar el pago en efectivo de $900,000 MXN?</w:t>
      </w:r>
    </w:p>
    <w:p>
      <w:pPr>
        <w:spacing w:after="110"/>
      </w:pPr>
      <w:r>
        <w:rPr>
          <w:rFonts w:ascii="Calibri" w:cs="Calibri" w:eastAsia="Calibri" w:hAnsi="Calibri"/>
          <w:sz w:val="20"/>
          <w:szCs w:val="20"/>
        </w:rPr>
        <w:t xml:space="preserve">3. ¿Qué debe hacer el Notario antes de autorizar la escritura?</w:t>
      </w:r>
    </w:p>
    <w:p>
      <w:pPr>
        <w:spacing w:after="110"/>
      </w:pPr>
      <w:r>
        <w:rPr>
          <w:rFonts w:ascii="Calibri" w:cs="Calibri" w:eastAsia="Calibri" w:hAnsi="Calibri"/>
          <w:sz w:val="20"/>
          <w:szCs w:val="20"/>
        </w:rPr>
        <w:t xml:space="preserve">4. ¿Aplica el umbral de identificación de forma de pago del artículo 33?</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Se identifican al menos 4 señales de alerta: (1) pago en efectivo parcial, (2) origen de fondos vago ("tengo varios negocios"), (3) comprobante de domicilio inconsistente con la identificación oficial, (4) forma de pago del saldo sin definir. El pago de $900,000 MXN en efectivo NO puede aceptarse: el artículo 32, fracción I, prohíbe liquidar en efectivo la transmisión de inmuebles cuyo valor sea igual o superior a 8,025 UMA (~$941,413 MXN), y esta operación vale $3,800,000 MXN — el límite se mide contra el valor del acto, no contra la parte que se pretende pagar en efectivo. Participar en la operación prohibida se sanciona con 10,000 a 65,000 UMA o del 10% al 100% del valor del acto (Arts. 53, fr. VII, y 54, fr. III) y es "notoria deficiencia" (Art. 58). El Notario debe completar el expediente KYC (D7-NOT) exigiendo soporte documental del origen de fondos antes de autorizar la escritura y, como el valor supera 8,025 UMA, dejar constancia expresa de la forma de pago en el instrumento (Art. 33). La combinación de señales amerita documentar un Reporte de Operación Inusual (D9-NOT) y, generada la sospecha, presentar el Aviso dentro de las 24 horas siguientes, aun si la operación no se celebra.</w:t>
            </w:r>
          </w:p>
        </w:tc>
      </w:tr>
    </w:tbl>
    <w:p>
      <w:pPr>
        <w:spacing w:after="40" w:before="220"/>
      </w:pPr>
      <w:r>
        <w:rPr>
          <w:rFonts w:ascii="Calibri" w:cs="Calibri" w:eastAsia="Calibri" w:hAnsi="Calibri"/>
          <w:b/>
          <w:bCs/>
          <w:color w:val="0A1628"/>
          <w:sz w:val="21"/>
          <w:szCs w:val="21"/>
        </w:rPr>
        <w:t xml:space="preserve">Caso 3: La sociedad de la cascada</w:t>
      </w:r>
    </w:p>
    <w:p>
      <w:pPr>
        <w:spacing w:after="80" w:before="40"/>
      </w:pPr>
      <w:r>
        <w:rPr>
          <w:rFonts w:ascii="Calibri" w:cs="Calibri" w:eastAsia="Calibri" w:hAnsi="Calibri"/>
          <w:b/>
          <w:bCs/>
          <w:i/>
          <w:iCs/>
          <w:color w:val="0A1628"/>
          <w:sz w:val="18"/>
          <w:szCs w:val="18"/>
        </w:rPr>
        <w:t xml:space="preserve">Módulo 3 — Beneficiario Controlador</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El Notario constituye una sociedad mercantil cuyo único socio fundador es otra persona moral constituida en una jurisdicción extranjera. Al solicitar la documentación del beneficiario controlador, el gestor que tramita el acto le indica que "eso no es necesario porque el socio es una empresa, no una persona física" y que basta con los datos del apoderado que comparece a firmar.</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¿Es correcto el razonamiento del gestor?</w:t>
      </w:r>
    </w:p>
    <w:p>
      <w:pPr>
        <w:spacing w:after="110"/>
      </w:pPr>
      <w:r>
        <w:rPr>
          <w:rFonts w:ascii="Calibri" w:cs="Calibri" w:eastAsia="Calibri" w:hAnsi="Calibri"/>
          <w:sz w:val="20"/>
          <w:szCs w:val="20"/>
        </w:rPr>
        <w:t xml:space="preserve">2. ¿Qué obligación específica introdujo la reforma de julio 2025 en este tipo de actos?</w:t>
      </w:r>
    </w:p>
    <w:p>
      <w:pPr>
        <w:spacing w:after="110"/>
      </w:pPr>
      <w:r>
        <w:rPr>
          <w:rFonts w:ascii="Calibri" w:cs="Calibri" w:eastAsia="Calibri" w:hAnsi="Calibri"/>
          <w:sz w:val="20"/>
          <w:szCs w:val="20"/>
        </w:rPr>
        <w:t xml:space="preserve">3. ¿Basta con identificar al apoderado que comparece a la firma?</w:t>
      </w:r>
    </w:p>
    <w:p>
      <w:pPr>
        <w:spacing w:after="110"/>
      </w:pPr>
      <w:r>
        <w:rPr>
          <w:rFonts w:ascii="Calibri" w:cs="Calibri" w:eastAsia="Calibri" w:hAnsi="Calibri"/>
          <w:sz w:val="20"/>
          <w:szCs w:val="20"/>
        </w:rPr>
        <w:t xml:space="preserve">4. ¿Qué riesgo representa una estructura societaria en cascada para efectos PLD/FT?</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No es correcto. Cuando el cliente es una persona moral, el Notario debe recabar los documentos que permitan identificar a la persona física que en última instancia la controla (Art. 18, fr. III, reformado en julio de 2025), aplicando el orden de prelación del Art. 23 Quinquies RCG — quien tenga el 25% o más del capital; si no existe, quien controle por otros medios; en último término, el funcionario administrativo de mayor grado — y ascendiendo por la cadena de titularidad hasta llegar a una persona física. No basta con los datos del apoderado que firma: este es solo el representante del acto, no el beneficiario controlador. Una estructura en cascada (persona moral extranjera como único socio) eleva el riesgo en los Factores 1 y 3 de la Metodología EBR (D6-NOT) y, si el país es de régimen fiscal preferente o de alto riesgo, el cliente es de riesgo alto (Art. 23 Bis 4 RCG). El expediente debe documentarse en la Sección E del D7-NOT antes de autorizar el instrumento.</w:t>
            </w:r>
          </w:p>
        </w:tc>
      </w:tr>
    </w:tbl>
    <w:p>
      <w:pPr>
        <w:spacing w:after="40" w:before="220"/>
      </w:pPr>
      <w:r>
        <w:rPr>
          <w:rFonts w:ascii="Calibri" w:cs="Calibri" w:eastAsia="Calibri" w:hAnsi="Calibri"/>
          <w:b/>
          <w:bCs/>
          <w:color w:val="0A1628"/>
          <w:sz w:val="21"/>
          <w:szCs w:val="21"/>
        </w:rPr>
        <w:t xml:space="preserve">Caso 4: La regidora que quiere vender</w:t>
      </w:r>
    </w:p>
    <w:p>
      <w:pPr>
        <w:spacing w:after="80" w:before="40"/>
      </w:pPr>
      <w:r>
        <w:rPr>
          <w:rFonts w:ascii="Calibri" w:cs="Calibri" w:eastAsia="Calibri" w:hAnsi="Calibri"/>
          <w:b/>
          <w:bCs/>
          <w:i/>
          <w:iCs/>
          <w:color w:val="0A1628"/>
          <w:sz w:val="18"/>
          <w:szCs w:val="18"/>
        </w:rPr>
        <w:t xml:space="preserve">Módulo 4 — PEP's</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Una clienta se presenta a vender un inmueble de $6,200,000 MXN. Durante la identificación menciona que actualmente es Regidora del Ayuntamiento. El pasante que atiende el trámite considera que, como "solo está vendiendo, no comprando", no es necesario aplicar el procedimiento de PEP's.</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¿Es correcta la distinción que hace el pasante entre comprar y vender?</w:t>
      </w:r>
    </w:p>
    <w:p>
      <w:pPr>
        <w:spacing w:after="110"/>
      </w:pPr>
      <w:r>
        <w:rPr>
          <w:rFonts w:ascii="Calibri" w:cs="Calibri" w:eastAsia="Calibri" w:hAnsi="Calibri"/>
          <w:sz w:val="20"/>
          <w:szCs w:val="20"/>
        </w:rPr>
        <w:t xml:space="preserve">2. ¿Es la clienta un PEP conforme a la LFPIORPI?</w:t>
      </w:r>
    </w:p>
    <w:p>
      <w:pPr>
        <w:spacing w:after="110"/>
      </w:pPr>
      <w:r>
        <w:rPr>
          <w:rFonts w:ascii="Calibri" w:cs="Calibri" w:eastAsia="Calibri" w:hAnsi="Calibri"/>
          <w:sz w:val="20"/>
          <w:szCs w:val="20"/>
        </w:rPr>
        <w:t xml:space="preserve">3. ¿Qué medidas de debida diligencia reforzada corresponden?</w:t>
      </w:r>
    </w:p>
    <w:p>
      <w:pPr>
        <w:spacing w:after="110"/>
      </w:pPr>
      <w:r>
        <w:rPr>
          <w:rFonts w:ascii="Calibri" w:cs="Calibri" w:eastAsia="Calibri" w:hAnsi="Calibri"/>
          <w:sz w:val="20"/>
          <w:szCs w:val="20"/>
        </w:rPr>
        <w:t xml:space="preserve">4. ¿Puede el pasante autorizar el trámite sin escalar al Notario?</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La distinción es incorrecta — la calidad de PEP se evalúa respecto de la persona, no del sentido de la operación (comprar o vender); ambas partes de un acto notarial deben identificarse y evaluarse. Sí, una Regidora de Ayuntamiento es un PEP conforme a la LFPIORPI. Corresponde aplicar debida diligencia reforzada: verificación de que el valor de la operación sea congruente con los ingresos declarados de la funcionaria, solicitud de declaración patrimonial o fiscal, y documentación reforzada en el expediente KYC (Sección F, D7-NOT). El pasante NO puede autorizar el trámite por su cuenta — debe escalarse al Notario Titular, quien es personal y directamente responsable de aprobar operaciones con PEP's conforme a la Política D8.</w:t>
            </w:r>
          </w:p>
        </w:tc>
      </w:tr>
    </w:tbl>
    <w:p>
      <w:pPr>
        <w:spacing w:after="40" w:before="220"/>
      </w:pPr>
      <w:r>
        <w:rPr>
          <w:rFonts w:ascii="Calibri" w:cs="Calibri" w:eastAsia="Calibri" w:hAnsi="Calibri"/>
          <w:b/>
          <w:bCs/>
          <w:color w:val="0A1628"/>
          <w:sz w:val="21"/>
          <w:szCs w:val="21"/>
        </w:rPr>
        <w:t xml:space="preserve">Caso 5: El préstamo entre "amigos"</w:t>
      </w:r>
    </w:p>
    <w:p>
      <w:pPr>
        <w:spacing w:after="80" w:before="40"/>
      </w:pPr>
      <w:r>
        <w:rPr>
          <w:rFonts w:ascii="Calibri" w:cs="Calibri" w:eastAsia="Calibri" w:hAnsi="Calibri"/>
          <w:b/>
          <w:bCs/>
          <w:i/>
          <w:iCs/>
          <w:color w:val="0A1628"/>
          <w:sz w:val="18"/>
          <w:szCs w:val="18"/>
        </w:rPr>
        <w:t xml:space="preserve">Módulo 5 — Mutuos y Fideicomisos</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Dos personas sin parentesco ni relación comercial previa comparecen ante el Notario para formalizar un contrato de mutuo por $2,000,000 MXN, sin garantía y sin intereses. El mutuante declara ser empleado con ingresos mensuales de $35,000 MXN. El mutuatario no explica el destino de los recursos.</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¿Este acto requiere aviso al SAT, y bajo qué inciso?</w:t>
      </w:r>
    </w:p>
    <w:p>
      <w:pPr>
        <w:spacing w:after="110"/>
      </w:pPr>
      <w:r>
        <w:rPr>
          <w:rFonts w:ascii="Calibri" w:cs="Calibri" w:eastAsia="Calibri" w:hAnsi="Calibri"/>
          <w:sz w:val="20"/>
          <w:szCs w:val="20"/>
        </w:rPr>
        <w:t xml:space="preserve">2. ¿El monto del mutuo es congruente con el perfil declarado del mutuante?</w:t>
      </w:r>
    </w:p>
    <w:p>
      <w:pPr>
        <w:spacing w:after="110"/>
      </w:pPr>
      <w:r>
        <w:rPr>
          <w:rFonts w:ascii="Calibri" w:cs="Calibri" w:eastAsia="Calibri" w:hAnsi="Calibri"/>
          <w:sz w:val="20"/>
          <w:szCs w:val="20"/>
        </w:rPr>
        <w:t xml:space="preserve">3. ¿Qué nivel de riesgo asignarías conforme a la Metodología EBR (D6-NOT)?</w:t>
      </w:r>
    </w:p>
    <w:p>
      <w:pPr>
        <w:spacing w:after="110"/>
      </w:pPr>
      <w:r>
        <w:rPr>
          <w:rFonts w:ascii="Calibri" w:cs="Calibri" w:eastAsia="Calibri" w:hAnsi="Calibri"/>
          <w:sz w:val="20"/>
          <w:szCs w:val="20"/>
        </w:rPr>
        <w:t xml:space="preserve">4. ¿Debe el Notario abstenerse de formalizar el acto?</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El acto cae en el inciso e) de la Fracción XII, Apartado A — contratos de mutuo o crédito donde el acreedor no forma parte del sistema financiero — y es SIEMPRE objeto de aviso, sin importar el monto. El monto de $2,000,000 MXN NO es congruente con el perfil de un empleado con ingresos de $35,000 MXN mensuales, lo cual es una señal de alerta relevante (Factor 2, D6-NOT). Combinando ausencia de vínculo entre las partes, de garantía, de interés y de justificación del destino de los recursos, el acto debe clasificarse como riesgo ALTO. El Notario puede formalizar el acto si las partes proporcionan la información requerida (Art. 21), pero debe documentar un Reporte de Operación Inusual (D9-NOT) y, generada la sospecha, presentar el Aviso dentro de las 24 horas siguientes (Art. 18, fr. VI). Ese Aviso es distinto del Aviso ordinario del inciso e), que se presenta a más tardar el día 17 del mes siguiente.</w:t>
            </w:r>
          </w:p>
        </w:tc>
      </w:tr>
    </w:tbl>
    <w:p>
      <w:pPr>
        <w:spacing w:after="40" w:before="220"/>
      </w:pPr>
      <w:r>
        <w:rPr>
          <w:rFonts w:ascii="Calibri" w:cs="Calibri" w:eastAsia="Calibri" w:hAnsi="Calibri"/>
          <w:b/>
          <w:bCs/>
          <w:color w:val="0A1628"/>
          <w:sz w:val="21"/>
          <w:szCs w:val="21"/>
        </w:rPr>
        <w:t xml:space="preserve">Caso 6: El aviso que se quedó en el cajón</w:t>
      </w:r>
    </w:p>
    <w:p>
      <w:pPr>
        <w:spacing w:after="80" w:before="40"/>
      </w:pPr>
      <w:r>
        <w:rPr>
          <w:rFonts w:ascii="Calibri" w:cs="Calibri" w:eastAsia="Calibri" w:hAnsi="Calibri"/>
          <w:b/>
          <w:bCs/>
          <w:i/>
          <w:iCs/>
          <w:color w:val="0A1628"/>
          <w:sz w:val="18"/>
          <w:szCs w:val="18"/>
        </w:rPr>
        <w:t xml:space="preserve">Módulo 6 — Reportes y Avisos</w:t>
      </w:r>
    </w:p>
    <w:p>
      <w:pPr>
        <w:spacing w:after="40" w:before="60"/>
      </w:pPr>
      <w:r>
        <w:rPr>
          <w:rFonts w:ascii="Calibri" w:cs="Calibri" w:eastAsia="Calibri" w:hAnsi="Calibri"/>
          <w:b/>
          <w:bCs/>
          <w:sz w:val="19"/>
          <w:szCs w:val="19"/>
        </w:rPr>
        <w:t xml:space="preserve">Situación</w:t>
      </w:r>
    </w:p>
    <w:p>
      <w:pPr>
        <w:spacing w:after="110"/>
      </w:pPr>
      <w:r>
        <w:rPr>
          <w:rFonts w:ascii="Calibri" w:cs="Calibri" w:eastAsia="Calibri" w:hAnsi="Calibri"/>
          <w:sz w:val="20"/>
          <w:szCs w:val="20"/>
        </w:rPr>
        <w:t xml:space="preserve">Es día 20 del mes. El Notario revisa el control de avisos (D12-NOT) y descubre que el mes anterior autorizó la constitución de una sociedad (inciso c) — acto que es SIEMPRE objeto de aviso — pero el aviso nunca se presentó porque "como no había umbral de por medio, se pasó por alto". Un colaborador sugiere "mejor no presentarlo tarde, para no generar una alerta innecesaria".</w:t>
      </w:r>
    </w:p>
    <w:p>
      <w:pPr>
        <w:spacing w:after="40" w:before="60"/>
      </w:pPr>
      <w:r>
        <w:rPr>
          <w:rFonts w:ascii="Calibri" w:cs="Calibri" w:eastAsia="Calibri" w:hAnsi="Calibri"/>
          <w:b/>
          <w:bCs/>
          <w:sz w:val="19"/>
          <w:szCs w:val="19"/>
        </w:rPr>
        <w:t xml:space="preserve">Preguntas de análisis</w:t>
      </w:r>
    </w:p>
    <w:p>
      <w:pPr>
        <w:spacing w:after="110"/>
      </w:pPr>
      <w:r>
        <w:rPr>
          <w:rFonts w:ascii="Calibri" w:cs="Calibri" w:eastAsia="Calibri" w:hAnsi="Calibri"/>
          <w:sz w:val="20"/>
          <w:szCs w:val="20"/>
        </w:rPr>
        <w:t xml:space="preserve">1. ¿Es correcta la recomendación del colaborador?</w:t>
      </w:r>
    </w:p>
    <w:p>
      <w:pPr>
        <w:spacing w:after="110"/>
      </w:pPr>
      <w:r>
        <w:rPr>
          <w:rFonts w:ascii="Calibri" w:cs="Calibri" w:eastAsia="Calibri" w:hAnsi="Calibri"/>
          <w:sz w:val="20"/>
          <w:szCs w:val="20"/>
        </w:rPr>
        <w:t xml:space="preserve">2. ¿Qué exposición tiene el Notario por la omisión ya ocurrida?</w:t>
      </w:r>
    </w:p>
    <w:p>
      <w:pPr>
        <w:spacing w:after="110"/>
      </w:pPr>
      <w:r>
        <w:rPr>
          <w:rFonts w:ascii="Calibri" w:cs="Calibri" w:eastAsia="Calibri" w:hAnsi="Calibri"/>
          <w:sz w:val="20"/>
          <w:szCs w:val="20"/>
        </w:rPr>
        <w:t xml:space="preserve">3. ¿Cambia algo si el Notario presenta el aviso de forma espontánea, antes de que el SAT inicie una verificación?</w:t>
      </w:r>
    </w:p>
    <w:p>
      <w:pPr>
        <w:spacing w:after="110"/>
      </w:pPr>
      <w:r>
        <w:rPr>
          <w:rFonts w:ascii="Calibri" w:cs="Calibri" w:eastAsia="Calibri" w:hAnsi="Calibri"/>
          <w:sz w:val="20"/>
          <w:szCs w:val="20"/>
        </w:rPr>
        <w:t xml:space="preserve">4. ¿Qué medida debe adoptarse para que esto no vuelva a ocurrir?</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RESPUESTA MODELO — Certus PLD</w:t>
            </w:r>
          </w:p>
        </w:tc>
      </w:tr>
      <w:tr>
        <w:tc>
          <w:tcPr>
            <w:tcW w:type="dxa" w:w="9350"/>
            <w:shd w:fill="F4F4F4" w:val="clear"/>
            <w:tcMar>
              <w:top w:type="dxa" w:w="90"/>
              <w:left w:type="dxa" w:w="110"/>
              <w:bottom w:type="dxa" w:w="90"/>
              <w:right w:type="dxa" w:w="110"/>
            </w:tcMar>
            <w:vAlign w:val="center"/>
          </w:tcPr>
          <w:p>
            <w:r>
              <w:rPr>
                <w:rFonts w:ascii="Calibri" w:cs="Calibri" w:eastAsia="Calibri" w:hAnsi="Calibri"/>
                <w:b w:val="false"/>
                <w:bCs w:val="false"/>
                <w:sz w:val="19"/>
                <w:szCs w:val="19"/>
              </w:rPr>
              <w:t xml:space="preserve">La recomendación es incorrecta y riesgosa. Si el Notario presenta hoy el aviso — tres días después del límite del día 17 —, se trata de un Aviso extemporáneo dentro de los 30 días siguientes, sancionable con 200 a 2,000 UMA (Arts. 53, fr. III, y 54, fr. I); si lo hace de manera espontánea, antes de cualquier facultad de verificación y reconociendo la falta, puede acogerse al Art. 55 (abstención de sancionar por única ocasión o, si ya se ejerció, reducción de hasta 50%). Si no lo presenta, al vencer los 30 días la falta se sanciona como omisión — 10,000 a 65,000 UMA o del 10% al 100% del valor del acto (Art. 54, fr. III) — y es "notoria deficiencia" que la Secretaría informa a la autoridad estatal de fe pública (Art. 58). Para que no vuelva a ocurrir, TODOS los actos de los incisos b), c) y e) se registran en el D12-NOT desde el día del acto, sin esperar a evaluar si hay o no umbral — porque en esos tres incisos no lo hay.</w:t>
            </w:r>
          </w:p>
        </w:tc>
      </w:tr>
    </w:tbl>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2026-09-09T01:42:50.010Z</dcterms:created>
  <dcterms:modified xsi:type="dcterms:W3CDTF">2026-09-09T01:42:50.010Z</dcterms:modified>
</cp:coreProperties>
</file>

<file path=docProps/custom.xml><?xml version="1.0" encoding="utf-8"?>
<Properties xmlns="http://schemas.openxmlformats.org/officeDocument/2006/custom-properties" xmlns:vt="http://schemas.openxmlformats.org/officeDocument/2006/docPropsVTypes"/>
</file>